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77E8B" w14:textId="19AD4DFC" w:rsidR="00430C27" w:rsidRPr="00877318" w:rsidRDefault="00430C27" w:rsidP="00430C27">
      <w:pPr>
        <w:tabs>
          <w:tab w:val="left" w:pos="1701"/>
          <w:tab w:val="right" w:pos="9639"/>
        </w:tabs>
        <w:overflowPunct w:val="0"/>
        <w:autoSpaceDE w:val="0"/>
        <w:autoSpaceDN w:val="0"/>
        <w:adjustRightInd w:val="0"/>
        <w:spacing w:after="60"/>
        <w:textAlignment w:val="baseline"/>
        <w:rPr>
          <w:rFonts w:ascii="Arial" w:eastAsia="Times New Roman" w:hAnsi="Arial"/>
          <w:b/>
          <w:sz w:val="24"/>
          <w:szCs w:val="24"/>
          <w:highlight w:val="yellow"/>
          <w:lang w:eastAsia="zh-CN"/>
        </w:rPr>
      </w:pPr>
      <w:bookmarkStart w:id="0" w:name="_Hlk489988649"/>
      <w:bookmarkEnd w:id="0"/>
      <w:r w:rsidRPr="00877318">
        <w:rPr>
          <w:rFonts w:ascii="Arial" w:eastAsia="Times New Roman" w:hAnsi="Arial"/>
          <w:b/>
          <w:sz w:val="24"/>
          <w:szCs w:val="24"/>
          <w:lang w:eastAsia="zh-CN"/>
        </w:rPr>
        <w:t>3GPP TSG-RAN WG1 Meeting #94bis</w:t>
      </w:r>
      <w:r w:rsidRPr="00877318">
        <w:rPr>
          <w:rFonts w:ascii="Arial" w:eastAsia="Times New Roman" w:hAnsi="Arial"/>
          <w:b/>
          <w:sz w:val="24"/>
          <w:szCs w:val="24"/>
          <w:lang w:eastAsia="zh-CN"/>
        </w:rPr>
        <w:tab/>
        <w:t xml:space="preserve">R1- </w:t>
      </w:r>
      <w:r>
        <w:rPr>
          <w:rFonts w:ascii="Arial" w:eastAsia="Times New Roman" w:hAnsi="Arial"/>
          <w:b/>
          <w:sz w:val="24"/>
          <w:szCs w:val="24"/>
          <w:lang w:eastAsia="zh-CN"/>
        </w:rPr>
        <w:t>1810318</w:t>
      </w:r>
    </w:p>
    <w:p w14:paraId="01BE601C" w14:textId="77777777" w:rsidR="00430C27" w:rsidRPr="00877318" w:rsidRDefault="00430C27" w:rsidP="00430C27">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877318">
        <w:rPr>
          <w:rFonts w:ascii="Arial" w:eastAsia="Times New Roman" w:hAnsi="Arial"/>
          <w:b/>
          <w:sz w:val="24"/>
          <w:szCs w:val="24"/>
          <w:lang w:eastAsia="zh-CN"/>
        </w:rPr>
        <w:t>Chengdu, China, October 8 – 12, 2018</w:t>
      </w:r>
    </w:p>
    <w:p w14:paraId="7F79BBD4" w14:textId="0B7DFF3F" w:rsidR="00430C27" w:rsidRPr="00877318" w:rsidRDefault="00430C27" w:rsidP="00430C27">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877318">
        <w:rPr>
          <w:rFonts w:ascii="Arial" w:eastAsia="Times New Roman" w:hAnsi="Arial"/>
          <w:b/>
          <w:lang w:eastAsia="zh-CN"/>
        </w:rPr>
        <w:t>Agenda Item:</w:t>
      </w:r>
      <w:r w:rsidRPr="00877318">
        <w:rPr>
          <w:rFonts w:ascii="Arial" w:eastAsia="Times New Roman" w:hAnsi="Arial"/>
          <w:b/>
          <w:lang w:eastAsia="zh-CN"/>
        </w:rPr>
        <w:tab/>
        <w:t>7.2.6.</w:t>
      </w:r>
      <w:r>
        <w:rPr>
          <w:rFonts w:ascii="Arial" w:eastAsia="Times New Roman" w:hAnsi="Arial"/>
          <w:b/>
          <w:lang w:eastAsia="zh-CN"/>
        </w:rPr>
        <w:t>5</w:t>
      </w:r>
    </w:p>
    <w:p w14:paraId="7C27B3EB" w14:textId="77777777" w:rsidR="00430C27" w:rsidRPr="00877318" w:rsidRDefault="00430C27" w:rsidP="00430C27">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877318">
        <w:rPr>
          <w:rFonts w:ascii="Arial" w:eastAsia="Times New Roman" w:hAnsi="Arial"/>
          <w:b/>
          <w:lang w:eastAsia="zh-CN"/>
        </w:rPr>
        <w:t>Source:</w:t>
      </w:r>
      <w:r w:rsidRPr="00877318">
        <w:rPr>
          <w:rFonts w:ascii="Arial" w:eastAsia="Times New Roman" w:hAnsi="Arial"/>
          <w:b/>
          <w:lang w:eastAsia="zh-CN"/>
        </w:rPr>
        <w:tab/>
        <w:t>Ericsson</w:t>
      </w:r>
    </w:p>
    <w:p w14:paraId="1A2E318A" w14:textId="571D303B" w:rsidR="00430C27" w:rsidRPr="00877318" w:rsidRDefault="00430C27" w:rsidP="00430C27">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877318">
        <w:rPr>
          <w:rFonts w:ascii="Arial" w:eastAsia="Times New Roman" w:hAnsi="Arial"/>
          <w:b/>
          <w:lang w:eastAsia="zh-CN"/>
        </w:rPr>
        <w:t>Title:</w:t>
      </w:r>
      <w:r w:rsidRPr="00877318">
        <w:rPr>
          <w:rFonts w:ascii="Arial" w:eastAsia="Times New Roman" w:hAnsi="Arial"/>
          <w:b/>
          <w:lang w:eastAsia="zh-CN"/>
        </w:rPr>
        <w:tab/>
      </w:r>
      <w:r>
        <w:rPr>
          <w:rFonts w:ascii="Arial" w:eastAsia="Times New Roman" w:hAnsi="Arial"/>
          <w:b/>
          <w:lang w:eastAsia="zh-CN"/>
        </w:rPr>
        <w:t>Triggered A-CSI on PUCCH</w:t>
      </w:r>
    </w:p>
    <w:p w14:paraId="792F35A6" w14:textId="77777777" w:rsidR="00430C27" w:rsidRPr="001A77D6" w:rsidRDefault="00430C27" w:rsidP="00430C27">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1A77D6">
        <w:rPr>
          <w:rFonts w:ascii="Arial" w:eastAsia="Times New Roman" w:hAnsi="Arial"/>
          <w:b/>
          <w:lang w:eastAsia="zh-CN"/>
        </w:rPr>
        <w:t>Document for:</w:t>
      </w:r>
      <w:r w:rsidRPr="001A77D6">
        <w:rPr>
          <w:rFonts w:ascii="Arial" w:eastAsia="Times New Roman" w:hAnsi="Arial"/>
          <w:b/>
          <w:lang w:eastAsia="zh-CN"/>
        </w:rPr>
        <w:tab/>
        <w:t>Discussion, Decision</w:t>
      </w:r>
    </w:p>
    <w:p w14:paraId="72B2365A" w14:textId="0449D38F" w:rsidR="00E90E49" w:rsidRDefault="007F75D5" w:rsidP="00CE0424">
      <w:pPr>
        <w:pStyle w:val="Heading1"/>
      </w:pPr>
      <w:r>
        <w:t>Introduction</w:t>
      </w:r>
    </w:p>
    <w:p w14:paraId="1F45D790" w14:textId="401D7749" w:rsidR="00715EDD" w:rsidRPr="00534D9B" w:rsidRDefault="00715EDD" w:rsidP="00715EDD">
      <w:pPr>
        <w:rPr>
          <w:lang w:eastAsia="zh-CN"/>
        </w:rPr>
      </w:pPr>
      <w:r w:rsidRPr="00534D9B">
        <w:t>In RAN</w:t>
      </w:r>
      <w:r w:rsidR="00534D9B" w:rsidRPr="00534D9B">
        <w:t>#80</w:t>
      </w:r>
      <w:r w:rsidRPr="00534D9B">
        <w:t xml:space="preserve"> Plenary meeting, the </w:t>
      </w:r>
      <w:proofErr w:type="spellStart"/>
      <w:r w:rsidRPr="00534D9B">
        <w:t>eURLLC</w:t>
      </w:r>
      <w:proofErr w:type="spellEnd"/>
      <w:r w:rsidRPr="00534D9B">
        <w:t xml:space="preserve"> study item </w:t>
      </w:r>
      <w:r w:rsidRPr="00534D9B">
        <w:fldChar w:fldCharType="begin"/>
      </w:r>
      <w:r w:rsidRPr="00534D9B">
        <w:instrText xml:space="preserve"> REF _Ref525893644 \r \h </w:instrText>
      </w:r>
      <w:r w:rsidR="00534D9B">
        <w:instrText xml:space="preserve"> \* MERGEFORMAT </w:instrText>
      </w:r>
      <w:r w:rsidRPr="00534D9B">
        <w:fldChar w:fldCharType="separate"/>
      </w:r>
      <w:r w:rsidRPr="00534D9B">
        <w:t>[1]</w:t>
      </w:r>
      <w:r w:rsidRPr="00534D9B">
        <w:fldChar w:fldCharType="end"/>
      </w:r>
      <w:r w:rsidRPr="00534D9B">
        <w:t xml:space="preserve"> was approved. The objective of the study item is to study reliability and latency performance supported by NR Rel. 15 and identify further enhancements if needed to </w:t>
      </w:r>
      <w:r w:rsidR="00534D9B" w:rsidRPr="00534D9B">
        <w:t>satisfy</w:t>
      </w:r>
      <w:r w:rsidRPr="00534D9B">
        <w:t xml:space="preserve"> the requirements. The scope includes enhancements to CSI reporting for URLLC scenario.</w:t>
      </w:r>
    </w:p>
    <w:p w14:paraId="1679F15F" w14:textId="76436548" w:rsidR="00715EDD" w:rsidRDefault="00715EDD" w:rsidP="00715EDD">
      <w:pPr>
        <w:rPr>
          <w:lang w:eastAsia="zh-CN"/>
        </w:rPr>
      </w:pPr>
      <w:r>
        <w:rPr>
          <w:lang w:eastAsia="zh-CN"/>
        </w:rPr>
        <w:t>In RAN1#94, the following high-level agreement was made:</w:t>
      </w:r>
    </w:p>
    <w:p w14:paraId="17ED5905" w14:textId="77777777" w:rsidR="00715EDD" w:rsidRPr="00F14E42" w:rsidRDefault="00715EDD" w:rsidP="00715EDD">
      <w:pPr>
        <w:widowControl w:val="0"/>
        <w:spacing w:afterLines="50"/>
        <w:rPr>
          <w:kern w:val="2"/>
          <w:lang w:eastAsia="zh-CN"/>
        </w:rPr>
      </w:pPr>
      <w:r w:rsidRPr="00F14E42">
        <w:rPr>
          <w:kern w:val="2"/>
          <w:highlight w:val="green"/>
          <w:lang w:eastAsia="zh-CN"/>
        </w:rPr>
        <w:t>Agreements</w:t>
      </w:r>
      <w:r w:rsidRPr="00F14E42">
        <w:rPr>
          <w:kern w:val="2"/>
          <w:lang w:eastAsia="zh-CN"/>
        </w:rPr>
        <w:t>:</w:t>
      </w:r>
    </w:p>
    <w:p w14:paraId="077CCA18" w14:textId="77777777" w:rsidR="00715EDD" w:rsidRPr="00F14E42" w:rsidRDefault="00715EDD" w:rsidP="00715EDD">
      <w:pPr>
        <w:widowControl w:val="0"/>
        <w:spacing w:afterLines="50"/>
        <w:rPr>
          <w:kern w:val="2"/>
          <w:lang w:eastAsia="zh-CN"/>
        </w:rPr>
      </w:pPr>
      <w:r w:rsidRPr="00877318">
        <w:rPr>
          <w:kern w:val="2"/>
          <w:lang w:eastAsia="zh-CN"/>
        </w:rPr>
        <w:t xml:space="preserve">Study the need for enhanced CSI reporting/measurement mechanisms. </w:t>
      </w:r>
      <w:r w:rsidRPr="00F14E42">
        <w:rPr>
          <w:kern w:val="2"/>
          <w:lang w:eastAsia="zh-CN"/>
        </w:rPr>
        <w:t xml:space="preserve">E.g., </w:t>
      </w:r>
      <w:r w:rsidRPr="00F14E42">
        <w:rPr>
          <w:rFonts w:hint="eastAsia"/>
          <w:kern w:val="2"/>
          <w:lang w:eastAsia="zh-CN"/>
        </w:rPr>
        <w:t xml:space="preserve"> </w:t>
      </w:r>
    </w:p>
    <w:p w14:paraId="5961B3D0" w14:textId="77777777" w:rsidR="00715EDD" w:rsidRPr="00F14E42" w:rsidRDefault="00715EDD" w:rsidP="00715EDD">
      <w:pPr>
        <w:pStyle w:val="ListParagraph"/>
        <w:numPr>
          <w:ilvl w:val="0"/>
          <w:numId w:val="39"/>
        </w:numPr>
        <w:autoSpaceDE w:val="0"/>
        <w:autoSpaceDN w:val="0"/>
        <w:adjustRightInd w:val="0"/>
        <w:snapToGrid w:val="0"/>
        <w:spacing w:after="120"/>
        <w:rPr>
          <w:szCs w:val="20"/>
          <w:lang w:eastAsia="zh-CN"/>
        </w:rPr>
      </w:pPr>
      <w:r w:rsidRPr="00F14E42">
        <w:rPr>
          <w:rFonts w:hint="eastAsia"/>
          <w:szCs w:val="20"/>
          <w:lang w:eastAsia="zh-CN"/>
        </w:rPr>
        <w:t>DMRS based CSI</w:t>
      </w:r>
    </w:p>
    <w:p w14:paraId="143C1C24" w14:textId="77777777" w:rsidR="00715EDD" w:rsidRPr="00715EDD" w:rsidRDefault="00715EDD" w:rsidP="00715EDD">
      <w:pPr>
        <w:pStyle w:val="ListParagraph"/>
        <w:numPr>
          <w:ilvl w:val="0"/>
          <w:numId w:val="39"/>
        </w:numPr>
        <w:autoSpaceDE w:val="0"/>
        <w:autoSpaceDN w:val="0"/>
        <w:adjustRightInd w:val="0"/>
        <w:snapToGrid w:val="0"/>
        <w:spacing w:after="120"/>
        <w:rPr>
          <w:szCs w:val="20"/>
          <w:highlight w:val="cyan"/>
          <w:lang w:eastAsia="zh-CN"/>
        </w:rPr>
      </w:pPr>
      <w:r w:rsidRPr="00715EDD">
        <w:rPr>
          <w:rFonts w:hint="eastAsia"/>
          <w:szCs w:val="20"/>
          <w:highlight w:val="cyan"/>
          <w:lang w:eastAsia="zh-CN"/>
        </w:rPr>
        <w:t>A-CSI on PUCCH</w:t>
      </w:r>
    </w:p>
    <w:p w14:paraId="611041EE" w14:textId="77777777" w:rsidR="00715EDD" w:rsidRPr="00F14E42" w:rsidRDefault="00715EDD" w:rsidP="00715EDD">
      <w:pPr>
        <w:pStyle w:val="ListParagraph"/>
        <w:numPr>
          <w:ilvl w:val="0"/>
          <w:numId w:val="39"/>
        </w:numPr>
        <w:autoSpaceDE w:val="0"/>
        <w:autoSpaceDN w:val="0"/>
        <w:adjustRightInd w:val="0"/>
        <w:snapToGrid w:val="0"/>
        <w:spacing w:after="120"/>
        <w:rPr>
          <w:szCs w:val="20"/>
          <w:lang w:eastAsia="zh-CN"/>
        </w:rPr>
      </w:pPr>
      <w:r w:rsidRPr="00F14E42">
        <w:rPr>
          <w:rFonts w:hint="eastAsia"/>
          <w:szCs w:val="20"/>
          <w:lang w:eastAsia="zh-CN"/>
        </w:rPr>
        <w:t>Trigger by DL assignment</w:t>
      </w:r>
    </w:p>
    <w:p w14:paraId="47BE31C9" w14:textId="77777777" w:rsidR="00715EDD" w:rsidRPr="00F14E42" w:rsidRDefault="00715EDD" w:rsidP="00715EDD">
      <w:pPr>
        <w:pStyle w:val="ListParagraph"/>
        <w:numPr>
          <w:ilvl w:val="0"/>
          <w:numId w:val="39"/>
        </w:numPr>
        <w:autoSpaceDE w:val="0"/>
        <w:autoSpaceDN w:val="0"/>
        <w:adjustRightInd w:val="0"/>
        <w:snapToGrid w:val="0"/>
        <w:spacing w:after="120"/>
        <w:rPr>
          <w:szCs w:val="20"/>
          <w:lang w:eastAsia="zh-CN"/>
        </w:rPr>
      </w:pPr>
      <w:r w:rsidRPr="00F14E42">
        <w:rPr>
          <w:rFonts w:hint="eastAsia"/>
          <w:szCs w:val="20"/>
          <w:lang w:eastAsia="zh-CN"/>
        </w:rPr>
        <w:t xml:space="preserve">Enhanced CSI </w:t>
      </w:r>
      <w:r w:rsidRPr="00F14E42">
        <w:rPr>
          <w:szCs w:val="20"/>
          <w:lang w:eastAsia="zh-CN"/>
        </w:rPr>
        <w:t>reporting</w:t>
      </w:r>
      <w:r w:rsidRPr="00F14E42">
        <w:rPr>
          <w:rFonts w:hint="eastAsia"/>
          <w:szCs w:val="20"/>
          <w:lang w:eastAsia="zh-CN"/>
        </w:rPr>
        <w:t xml:space="preserve"> mode</w:t>
      </w:r>
    </w:p>
    <w:p w14:paraId="72FABB38" w14:textId="74FEFE71" w:rsidR="00715EDD" w:rsidRDefault="00715EDD" w:rsidP="00715EDD">
      <w:pPr>
        <w:pStyle w:val="ListParagraph"/>
        <w:numPr>
          <w:ilvl w:val="0"/>
          <w:numId w:val="39"/>
        </w:numPr>
        <w:autoSpaceDE w:val="0"/>
        <w:autoSpaceDN w:val="0"/>
        <w:adjustRightInd w:val="0"/>
        <w:snapToGrid w:val="0"/>
        <w:spacing w:after="120"/>
        <w:rPr>
          <w:szCs w:val="20"/>
          <w:lang w:eastAsia="zh-CN"/>
        </w:rPr>
      </w:pPr>
      <w:r w:rsidRPr="00F14E42">
        <w:rPr>
          <w:szCs w:val="20"/>
          <w:lang w:eastAsia="zh-CN"/>
        </w:rPr>
        <w:t>Other approaches are not precluded</w:t>
      </w:r>
    </w:p>
    <w:p w14:paraId="2EBF764A" w14:textId="4F8640E8" w:rsidR="00021BF6" w:rsidRPr="00021BF6" w:rsidRDefault="00715EDD" w:rsidP="00715EDD">
      <w:pPr>
        <w:autoSpaceDE w:val="0"/>
        <w:autoSpaceDN w:val="0"/>
        <w:adjustRightInd w:val="0"/>
        <w:snapToGrid w:val="0"/>
      </w:pPr>
      <w:r>
        <w:rPr>
          <w:lang w:eastAsia="zh-CN"/>
        </w:rPr>
        <w:t xml:space="preserve">This contribution further discusses the need for aperiodic CSI reporting on PUCCH. </w:t>
      </w:r>
    </w:p>
    <w:p w14:paraId="77A29F38" w14:textId="6C74DBB8" w:rsidR="00B90C9C" w:rsidRDefault="000C64D4" w:rsidP="00B90C9C">
      <w:pPr>
        <w:pStyle w:val="Heading1"/>
      </w:pPr>
      <w:r>
        <w:t>Discussion</w:t>
      </w:r>
    </w:p>
    <w:p w14:paraId="50E799DD" w14:textId="69069F3B" w:rsidR="00715EDD" w:rsidRDefault="00534D9B" w:rsidP="00715EDD">
      <w:pPr>
        <w:autoSpaceDE w:val="0"/>
        <w:autoSpaceDN w:val="0"/>
        <w:adjustRightInd w:val="0"/>
        <w:snapToGrid w:val="0"/>
        <w:rPr>
          <w:lang w:eastAsia="zh-CN"/>
        </w:rPr>
      </w:pPr>
      <w:r>
        <w:rPr>
          <w:lang w:eastAsia="zh-CN"/>
        </w:rPr>
        <w:t>The</w:t>
      </w:r>
      <w:r w:rsidR="00715EDD">
        <w:rPr>
          <w:lang w:eastAsia="zh-CN"/>
        </w:rPr>
        <w:t xml:space="preserve"> topic</w:t>
      </w:r>
      <w:r>
        <w:rPr>
          <w:lang w:eastAsia="zh-CN"/>
        </w:rPr>
        <w:t xml:space="preserve"> of A-CSI on PUCCH</w:t>
      </w:r>
      <w:r w:rsidR="00715EDD">
        <w:rPr>
          <w:lang w:eastAsia="zh-CN"/>
        </w:rPr>
        <w:t xml:space="preserve"> was </w:t>
      </w:r>
      <w:r>
        <w:rPr>
          <w:lang w:eastAsia="zh-CN"/>
        </w:rPr>
        <w:t xml:space="preserve">previously </w:t>
      </w:r>
      <w:r w:rsidR="00715EDD">
        <w:rPr>
          <w:lang w:eastAsia="zh-CN"/>
        </w:rPr>
        <w:t xml:space="preserve">discussed in Rel-15 timeframe, where A-CSI reporting on PUCCH was agreed to be supported at </w:t>
      </w:r>
      <w:r w:rsidR="00715EDD">
        <w:t>RAN1#90-AH3</w:t>
      </w:r>
      <w:r w:rsidR="00715EDD">
        <w:rPr>
          <w:lang w:eastAsia="zh-CN"/>
        </w:rPr>
        <w:t xml:space="preserve">. However, due to time limitations and lack of consensus on the triggering mechanism (due to lack of proper study </w:t>
      </w:r>
      <w:r>
        <w:rPr>
          <w:lang w:eastAsia="zh-CN"/>
        </w:rPr>
        <w:t>under</w:t>
      </w:r>
      <w:r w:rsidR="00715EDD">
        <w:rPr>
          <w:lang w:eastAsia="zh-CN"/>
        </w:rPr>
        <w:t xml:space="preserve"> said time limitations), A-CSI on PUCCH was </w:t>
      </w:r>
      <w:r>
        <w:rPr>
          <w:lang w:eastAsia="zh-CN"/>
        </w:rPr>
        <w:t xml:space="preserve">ultimately </w:t>
      </w:r>
      <w:r w:rsidR="00715EDD">
        <w:rPr>
          <w:lang w:eastAsia="zh-CN"/>
        </w:rPr>
        <w:t>left out of NR Rel-15.</w:t>
      </w:r>
    </w:p>
    <w:p w14:paraId="74EE06FA" w14:textId="3E48C2CF" w:rsidR="00715EDD" w:rsidRDefault="00715EDD" w:rsidP="00715EDD">
      <w:pPr>
        <w:autoSpaceDE w:val="0"/>
        <w:autoSpaceDN w:val="0"/>
        <w:adjustRightInd w:val="0"/>
        <w:snapToGrid w:val="0"/>
        <w:rPr>
          <w:lang w:eastAsia="x-none"/>
        </w:rPr>
      </w:pPr>
      <w:r>
        <w:rPr>
          <w:lang w:eastAsia="zh-CN"/>
        </w:rPr>
        <w:t>However, the</w:t>
      </w:r>
      <w:r w:rsidR="00534D9B">
        <w:rPr>
          <w:lang w:eastAsia="zh-CN"/>
        </w:rPr>
        <w:t xml:space="preserve"> existing</w:t>
      </w:r>
      <w:r>
        <w:rPr>
          <w:lang w:eastAsia="zh-CN"/>
        </w:rPr>
        <w:t xml:space="preserve"> agreements in NR Rel-15 WI can be taken as a starting point for discussion in </w:t>
      </w:r>
      <w:proofErr w:type="spellStart"/>
      <w:r>
        <w:rPr>
          <w:lang w:eastAsia="zh-CN"/>
        </w:rPr>
        <w:t>eURLLC</w:t>
      </w:r>
      <w:proofErr w:type="spellEnd"/>
      <w:r>
        <w:rPr>
          <w:lang w:eastAsia="zh-CN"/>
        </w:rPr>
        <w:t>:</w:t>
      </w:r>
    </w:p>
    <w:p w14:paraId="7C7A9311" w14:textId="77777777" w:rsidR="00715EDD" w:rsidRDefault="00715EDD" w:rsidP="00715EDD">
      <w:pPr>
        <w:rPr>
          <w:b/>
        </w:rPr>
      </w:pPr>
      <w:r>
        <w:rPr>
          <w:b/>
          <w:highlight w:val="green"/>
        </w:rPr>
        <w:t>Agreement:</w:t>
      </w:r>
    </w:p>
    <w:p w14:paraId="0568DF3A" w14:textId="77777777" w:rsidR="00715EDD" w:rsidRDefault="00715EDD" w:rsidP="00715EDD">
      <w:pPr>
        <w:pStyle w:val="RAN1bullet1"/>
      </w:pPr>
      <w:r>
        <w:t>For A-CSI on short PUCCH with single CSI report, downselect from the following:</w:t>
      </w:r>
    </w:p>
    <w:p w14:paraId="234864DA" w14:textId="77777777" w:rsidR="00715EDD" w:rsidRDefault="00715EDD" w:rsidP="00715EDD">
      <w:pPr>
        <w:pStyle w:val="RAN1bullet2"/>
      </w:pPr>
      <w:r>
        <w:t>Alt 1:</w:t>
      </w:r>
    </w:p>
    <w:p w14:paraId="2B51BC30" w14:textId="77777777" w:rsidR="00715EDD" w:rsidRDefault="00715EDD" w:rsidP="00715EDD">
      <w:pPr>
        <w:pStyle w:val="RAN1bullet3"/>
      </w:pPr>
      <w:r>
        <w:t>The CSI report is triggered with CSI request field in DL-related DCI</w:t>
      </w:r>
    </w:p>
    <w:p w14:paraId="79AD51BB" w14:textId="77777777" w:rsidR="00715EDD" w:rsidRDefault="00715EDD" w:rsidP="00715EDD">
      <w:pPr>
        <w:pStyle w:val="RAN1bullet3"/>
        <w:numPr>
          <w:ilvl w:val="3"/>
          <w:numId w:val="33"/>
        </w:numPr>
      </w:pPr>
      <w:r>
        <w:t>UE-specific or UE-group-specific DCI is to be discussed in control channel session</w:t>
      </w:r>
    </w:p>
    <w:p w14:paraId="09255A0A" w14:textId="77777777" w:rsidR="00715EDD" w:rsidRDefault="00715EDD" w:rsidP="00715EDD">
      <w:pPr>
        <w:pStyle w:val="RAN1bullet3"/>
      </w:pPr>
      <w:r>
        <w:t>PUCCH resource indicator field in DL-related DCI indicates the PUCCH resource for the triggered CSI report from a set of higher-layer configured PUCCH resources</w:t>
      </w:r>
    </w:p>
    <w:p w14:paraId="78FBE2B5" w14:textId="77777777" w:rsidR="00715EDD" w:rsidRDefault="00715EDD" w:rsidP="00715EDD">
      <w:pPr>
        <w:pStyle w:val="RAN1bullet2"/>
      </w:pPr>
      <w:r>
        <w:t>Alt 2:</w:t>
      </w:r>
    </w:p>
    <w:p w14:paraId="723538FB" w14:textId="77777777" w:rsidR="00715EDD" w:rsidRDefault="00715EDD" w:rsidP="00715EDD">
      <w:pPr>
        <w:pStyle w:val="RAN1bullet3"/>
      </w:pPr>
      <w:r>
        <w:lastRenderedPageBreak/>
        <w:t>Use UE-specific UL-related DCI, CSI request field triggers a CSI report. It is indicated in the CSI Report Setting if PUCCH or PUSCH is used</w:t>
      </w:r>
    </w:p>
    <w:p w14:paraId="7ED7DF81" w14:textId="77777777" w:rsidR="00715EDD" w:rsidRDefault="00715EDD" w:rsidP="00715EDD">
      <w:pPr>
        <w:pStyle w:val="RAN1bullet2"/>
      </w:pPr>
      <w:r>
        <w:t>Alt 3:</w:t>
      </w:r>
      <w:r>
        <w:tab/>
      </w:r>
    </w:p>
    <w:p w14:paraId="3AA64E7A" w14:textId="77777777" w:rsidR="00715EDD" w:rsidRDefault="00715EDD" w:rsidP="00715EDD">
      <w:pPr>
        <w:pStyle w:val="RAN1bullet3"/>
      </w:pPr>
      <w:r>
        <w:t>Use UE-specific UL-related DCI, indication on if PUCCH or PUSCH is used is determined by bit in DCI</w:t>
      </w:r>
    </w:p>
    <w:p w14:paraId="191D667B" w14:textId="77777777" w:rsidR="00715EDD" w:rsidRDefault="00715EDD" w:rsidP="00715EDD">
      <w:pPr>
        <w:spacing w:after="180"/>
        <w:contextualSpacing/>
      </w:pPr>
    </w:p>
    <w:p w14:paraId="6B2AD464" w14:textId="408F4917" w:rsidR="00715EDD" w:rsidRDefault="00DC2C45" w:rsidP="00DC2C45">
      <w:r>
        <w:t xml:space="preserve">One motivation </w:t>
      </w:r>
      <w:r w:rsidR="00715EDD">
        <w:t xml:space="preserve">to introduce A-CSI on PUCCH is to </w:t>
      </w:r>
      <w:r>
        <w:t>allow for more scheduling flexibility</w:t>
      </w:r>
      <w:r w:rsidR="00715EDD">
        <w:t xml:space="preserve"> at the gNB</w:t>
      </w:r>
      <w:r>
        <w:t xml:space="preserve">, even </w:t>
      </w:r>
      <w:r w:rsidR="00715EDD">
        <w:t>wideband</w:t>
      </w:r>
      <w:r>
        <w:t xml:space="preserve"> CSIs</w:t>
      </w:r>
      <w:r w:rsidR="00715EDD">
        <w:t>, with a relatively low overhead</w:t>
      </w:r>
      <w:r w:rsidR="00534D9B">
        <w:t xml:space="preserve">. A-CSI </w:t>
      </w:r>
      <w:r>
        <w:t>can be triggered aperiodically and it can be wasteful to spend an entire PUSCH transmission (spanning multiple OFDM symbols) if only a couple of 10 bits of WB CSI</w:t>
      </w:r>
      <w:r w:rsidR="00534D9B">
        <w:t xml:space="preserve"> needs to be transmitted</w:t>
      </w:r>
      <w:r>
        <w:t xml:space="preserve">. </w:t>
      </w:r>
    </w:p>
    <w:p w14:paraId="05C7CD68" w14:textId="403AA97B" w:rsidR="00715EDD" w:rsidRDefault="00183126" w:rsidP="00715EDD">
      <w:pPr>
        <w:pStyle w:val="Observation"/>
      </w:pPr>
      <w:bookmarkStart w:id="1" w:name="_Toc525917574"/>
      <w:r>
        <w:t>It can be wasteful to transmit an entire multi-symbol PUSCH only to convey a couple of bits of WB CSI</w:t>
      </w:r>
      <w:bookmarkEnd w:id="1"/>
    </w:p>
    <w:p w14:paraId="3A388C87" w14:textId="6025754A" w:rsidR="00DC2C45" w:rsidRDefault="00DC2C45" w:rsidP="00DC2C45">
      <w:r>
        <w:t>Another motivation is to allow for same-slot CSI feedback</w:t>
      </w:r>
      <w:r w:rsidR="00183126">
        <w:t>, where a DCI can be received in the beginning of the slot which triggers a short PUCCH at the end of the slot, which allows for very fast CSI feedback which improves the CSI accuracy, especially in case of fast moving UE or rapid interference variation. Additionally, if the UE only has a small amount of data in its buffer, such as is typical for URRLC type of traffic, the time duration for transmission is typically very short and regular, slower, aperiodic CSI triggering requiring multiple slots may not be fast enough for the CSI to be received before the transmission to the UE has ended.</w:t>
      </w:r>
    </w:p>
    <w:p w14:paraId="43244F1D" w14:textId="1AA1562D" w:rsidR="00183126" w:rsidRDefault="00183126" w:rsidP="00183126">
      <w:pPr>
        <w:pStyle w:val="Observation"/>
      </w:pPr>
      <w:bookmarkStart w:id="2" w:name="_Toc525917575"/>
      <w:r>
        <w:t>Aperiodic CSI on PUCCH allows for same-slot CSI feedback</w:t>
      </w:r>
      <w:bookmarkEnd w:id="2"/>
    </w:p>
    <w:p w14:paraId="2B446734" w14:textId="1E23CE14" w:rsidR="00183126" w:rsidRDefault="00183126" w:rsidP="00183126">
      <w:r>
        <w:t>Therefore, introducing aperiodic CSI feedback carried on PUCCH is a promising feature to enhance URLLC CSI reporting.</w:t>
      </w:r>
    </w:p>
    <w:p w14:paraId="5EA592C8" w14:textId="1AA13E3E" w:rsidR="00183126" w:rsidRDefault="00183126" w:rsidP="00183126">
      <w:pPr>
        <w:pStyle w:val="Proposal"/>
      </w:pPr>
      <w:bookmarkStart w:id="3" w:name="_Toc525917801"/>
      <w:r>
        <w:t>Introduce aperiodic CSI feedback on PUCCH</w:t>
      </w:r>
      <w:bookmarkEnd w:id="3"/>
    </w:p>
    <w:p w14:paraId="31CCE474" w14:textId="77777777" w:rsidR="005C536C" w:rsidRDefault="001108E4" w:rsidP="00430C27">
      <w:r>
        <w:t>Obviously</w:t>
      </w:r>
      <w:r w:rsidR="00DC2C45">
        <w:t>, an A-CSI report</w:t>
      </w:r>
      <w:r w:rsidR="001523CA">
        <w:t xml:space="preserve"> must be triggered with DCI b</w:t>
      </w:r>
      <w:r>
        <w:t>y indicating which CSI report</w:t>
      </w:r>
      <w:r w:rsidR="001523CA">
        <w:t xml:space="preserve"> shall be reported in the CSI request field. Traditionally, the CSI request field is present in UL-related DCI, as the CSI report in that case is multiplexed with UL-SCH on PUSCH and the UL-r</w:t>
      </w:r>
      <w:r>
        <w:t>elated DCI contains the PUSCH resource allocation</w:t>
      </w:r>
      <w:r w:rsidR="001523CA">
        <w:t xml:space="preserve">. However, when the A-CSI report is transmitted on PUCCH, it makes more sense to include a CSI request field in DL-related DCI. </w:t>
      </w:r>
    </w:p>
    <w:p w14:paraId="055D9E39" w14:textId="77777777" w:rsidR="005C536C" w:rsidRDefault="001523CA" w:rsidP="005C536C">
      <w:pPr>
        <w:pStyle w:val="ListParagraph"/>
        <w:numPr>
          <w:ilvl w:val="0"/>
          <w:numId w:val="41"/>
        </w:numPr>
      </w:pPr>
      <w:r>
        <w:t xml:space="preserve">Firstly, for the case </w:t>
      </w:r>
      <w:r w:rsidR="001108E4">
        <w:t xml:space="preserve">of </w:t>
      </w:r>
      <w:r>
        <w:t xml:space="preserve">same-slot CSI reporting (Y=0), the UE is likely being scheduled with PDSCH in the same slot as it is triggered with an immediate CSI report (otherwise, there is </w:t>
      </w:r>
      <w:r w:rsidR="00C4481A">
        <w:t>little</w:t>
      </w:r>
      <w:r>
        <w:t xml:space="preserve"> benefit with immediate reporting). Thus, if the CSI request field is not present in the DL-related DCI containing the DL grant, both a UL-related and DL-related DCI would need to be transmitted in the same slot. </w:t>
      </w:r>
    </w:p>
    <w:p w14:paraId="2CD93310" w14:textId="55144310" w:rsidR="00430C27" w:rsidRDefault="001523CA" w:rsidP="005C536C">
      <w:pPr>
        <w:pStyle w:val="ListParagraph"/>
        <w:numPr>
          <w:ilvl w:val="0"/>
          <w:numId w:val="41"/>
        </w:numPr>
      </w:pPr>
      <w:r>
        <w:t xml:space="preserve">Secondly, the DL-related DCI already contains a PUCCH resource indicator field for HARQ-ACK, indicating the timing offset and frequency/code location of the PUCCH </w:t>
      </w:r>
      <w:r w:rsidR="001108E4">
        <w:t>carrying</w:t>
      </w:r>
      <w:r>
        <w:t xml:space="preserve"> ACK/NACK. This field can be re-used for</w:t>
      </w:r>
      <w:r w:rsidR="002E42D7">
        <w:t xml:space="preserve"> indicating the PUCCH resource for A-CSI. </w:t>
      </w:r>
    </w:p>
    <w:p w14:paraId="2388C109" w14:textId="46EDEDC9" w:rsidR="00430C27" w:rsidRDefault="00430C27" w:rsidP="00430C27">
      <w:pPr>
        <w:pStyle w:val="Observation"/>
        <w:overflowPunct w:val="0"/>
        <w:autoSpaceDE w:val="0"/>
        <w:autoSpaceDN w:val="0"/>
        <w:adjustRightInd w:val="0"/>
        <w:textAlignment w:val="baseline"/>
      </w:pPr>
      <w:bookmarkStart w:id="4" w:name="_Toc525917576"/>
      <w:r>
        <w:t>It is beneficial to trigger A-CSI on PUCCH with DL-related DCI</w:t>
      </w:r>
      <w:bookmarkEnd w:id="4"/>
    </w:p>
    <w:p w14:paraId="6E6F8777" w14:textId="77777777" w:rsidR="00430C27" w:rsidRDefault="00430C27" w:rsidP="00E766CB">
      <w:pPr>
        <w:pStyle w:val="BodyText"/>
      </w:pPr>
    </w:p>
    <w:p w14:paraId="30BF9ECD" w14:textId="7AD592D9" w:rsidR="008B6055" w:rsidRDefault="00E766CB" w:rsidP="00E766CB">
      <w:pPr>
        <w:pStyle w:val="BodyText"/>
      </w:pPr>
      <w:r>
        <w:t>The simplest approach would be to always piggyback the A-CSI report on the same PUCCH</w:t>
      </w:r>
      <w:r w:rsidR="008B6055">
        <w:t xml:space="preserve"> resource</w:t>
      </w:r>
      <w:r>
        <w:t xml:space="preserve"> that is used to transmit the HARQ-ACK</w:t>
      </w:r>
      <w:r w:rsidR="008B6055">
        <w:t>, if HARQ-ACK is present</w:t>
      </w:r>
      <w:r>
        <w:t>.</w:t>
      </w:r>
      <w:r w:rsidR="008B6055">
        <w:t xml:space="preserve"> This approach is desirable from a radio resource management perspective as it simplifies user multiplexing. Note that multiplexing P-CSI and HARQ-ACK on the same PUCCH transmission is already supported, and there exists a mechanism to select differently-sized PUCCH resources depending on UCI payload, so a PUCCH resource with larger frequency-occupancy would be selected and HARQ-ACK reliability is not compromised. As HARQ-ACK and A-CSI is “scheduled” on the PUCCH with the same DCI, there is no error case if the DCI is missed.</w:t>
      </w:r>
    </w:p>
    <w:p w14:paraId="567D7EAE" w14:textId="5B9D94F9" w:rsidR="00805871" w:rsidRDefault="00805871" w:rsidP="00805871">
      <w:pPr>
        <w:pStyle w:val="Observation"/>
      </w:pPr>
      <w:bookmarkStart w:id="5" w:name="_Toc525917577"/>
      <w:r>
        <w:lastRenderedPageBreak/>
        <w:t>Multiplexing HARQ-ACK and A-CSI on the same PUCCH is desirable</w:t>
      </w:r>
      <w:bookmarkEnd w:id="5"/>
    </w:p>
    <w:p w14:paraId="0C9754D5" w14:textId="77777777" w:rsidR="001A2648" w:rsidRDefault="001A2648" w:rsidP="00772296"/>
    <w:p w14:paraId="55AEF662" w14:textId="53415644" w:rsidR="00772296" w:rsidRDefault="00772296" w:rsidP="00772296">
      <w:r>
        <w:t>Based on this discussion, we propose:</w:t>
      </w:r>
    </w:p>
    <w:p w14:paraId="6373ADC2" w14:textId="77777777" w:rsidR="00430C27" w:rsidRDefault="00772296" w:rsidP="00430C27">
      <w:pPr>
        <w:pStyle w:val="Proposal"/>
        <w:tabs>
          <w:tab w:val="clear" w:pos="3005"/>
        </w:tabs>
        <w:overflowPunct w:val="0"/>
        <w:autoSpaceDE w:val="0"/>
        <w:autoSpaceDN w:val="0"/>
        <w:adjustRightInd w:val="0"/>
        <w:textAlignment w:val="baseline"/>
      </w:pPr>
      <w:bookmarkStart w:id="6" w:name="_Toc494637721"/>
      <w:bookmarkStart w:id="7" w:name="_Toc494738964"/>
      <w:bookmarkStart w:id="8" w:name="_Toc494739971"/>
      <w:bookmarkStart w:id="9" w:name="_Toc525917802"/>
      <w:r>
        <w:t>To support aperiodic CSI feedback on PUCCH, a CSI request field can be configured to be present in DL-related DCI</w:t>
      </w:r>
      <w:bookmarkStart w:id="10" w:name="_Toc494637722"/>
      <w:bookmarkStart w:id="11" w:name="_Toc494738965"/>
      <w:bookmarkStart w:id="12" w:name="_Toc494739972"/>
      <w:bookmarkEnd w:id="6"/>
      <w:bookmarkEnd w:id="7"/>
      <w:bookmarkEnd w:id="8"/>
      <w:bookmarkEnd w:id="9"/>
    </w:p>
    <w:p w14:paraId="08CA70B2" w14:textId="06BB9897" w:rsidR="00772296" w:rsidRDefault="00430C27" w:rsidP="00430C27">
      <w:pPr>
        <w:pStyle w:val="Proposal"/>
        <w:tabs>
          <w:tab w:val="clear" w:pos="3005"/>
        </w:tabs>
        <w:overflowPunct w:val="0"/>
        <w:autoSpaceDE w:val="0"/>
        <w:autoSpaceDN w:val="0"/>
        <w:adjustRightInd w:val="0"/>
        <w:textAlignment w:val="baseline"/>
      </w:pPr>
      <w:bookmarkStart w:id="13" w:name="_Toc525917803"/>
      <w:r>
        <w:t xml:space="preserve">The </w:t>
      </w:r>
      <w:r w:rsidR="00772296">
        <w:t xml:space="preserve">PUCCH resource indicator field in DL-related DCI indicates </w:t>
      </w:r>
      <w:r>
        <w:t xml:space="preserve">the </w:t>
      </w:r>
      <w:r w:rsidR="00772296">
        <w:t xml:space="preserve">PUCCH resource for the triggered </w:t>
      </w:r>
      <w:r>
        <w:t>A-</w:t>
      </w:r>
      <w:r w:rsidR="00772296">
        <w:t>CSI report</w:t>
      </w:r>
      <w:bookmarkEnd w:id="10"/>
      <w:bookmarkEnd w:id="11"/>
      <w:bookmarkEnd w:id="12"/>
      <w:bookmarkEnd w:id="13"/>
    </w:p>
    <w:p w14:paraId="56327F3C" w14:textId="77777777" w:rsidR="00C01F33" w:rsidRPr="00CE0424" w:rsidRDefault="00C01F33" w:rsidP="003A0E41">
      <w:pPr>
        <w:pStyle w:val="Heading1"/>
      </w:pPr>
      <w:r w:rsidRPr="00CE0424">
        <w:t>Conclusion</w:t>
      </w:r>
      <w:r w:rsidR="00AE2FEB">
        <w:t>s</w:t>
      </w:r>
    </w:p>
    <w:p w14:paraId="6A4817C8" w14:textId="33935653" w:rsidR="002451ED" w:rsidRDefault="003A0E41" w:rsidP="008E065E">
      <w:pPr>
        <w:pStyle w:val="BodyText"/>
      </w:pPr>
      <w:r>
        <w:t xml:space="preserve">In this </w:t>
      </w:r>
      <w:r w:rsidR="00F26BB4">
        <w:t>contribution,</w:t>
      </w:r>
      <w:r>
        <w:t xml:space="preserve"> we made the following ob</w:t>
      </w:r>
      <w:r w:rsidR="004033B5">
        <w:t>s</w:t>
      </w:r>
      <w:r>
        <w:t>ervations</w:t>
      </w:r>
      <w:r w:rsidR="008E065E" w:rsidRPr="00CE0424">
        <w:t>:</w:t>
      </w:r>
    </w:p>
    <w:p w14:paraId="6C522164" w14:textId="1EC83B8E" w:rsidR="00430C27" w:rsidRPr="005C536C" w:rsidRDefault="00E5689D">
      <w:pPr>
        <w:pStyle w:val="TOC1"/>
        <w:rPr>
          <w:rFonts w:asciiTheme="minorHAnsi" w:eastAsiaTheme="minorEastAsia" w:hAnsiTheme="minorHAnsi" w:cstheme="minorBidi"/>
          <w:b w:val="0"/>
          <w:sz w:val="22"/>
          <w:lang w:eastAsia="en-US"/>
        </w:rPr>
      </w:pPr>
      <w:r w:rsidRPr="005C536C">
        <w:rPr>
          <w:bCs/>
          <w:noProof w:val="0"/>
          <w:sz w:val="22"/>
          <w:lang w:val="en-GB"/>
        </w:rPr>
        <w:fldChar w:fldCharType="begin"/>
      </w:r>
      <w:r w:rsidRPr="005C536C">
        <w:rPr>
          <w:bCs/>
          <w:sz w:val="22"/>
        </w:rPr>
        <w:instrText xml:space="preserve"> TOC \n \h \z \t "Observation,1" </w:instrText>
      </w:r>
      <w:r w:rsidRPr="005C536C">
        <w:rPr>
          <w:bCs/>
          <w:noProof w:val="0"/>
          <w:sz w:val="22"/>
          <w:lang w:val="en-GB"/>
        </w:rPr>
        <w:fldChar w:fldCharType="separate"/>
      </w:r>
      <w:hyperlink w:anchor="_Toc525917574" w:history="1">
        <w:r w:rsidR="00430C27" w:rsidRPr="005C536C">
          <w:rPr>
            <w:rStyle w:val="Hyperlink"/>
            <w:sz w:val="22"/>
          </w:rPr>
          <w:t>Observation 1</w:t>
        </w:r>
        <w:r w:rsidR="00430C27" w:rsidRPr="005C536C">
          <w:rPr>
            <w:rFonts w:asciiTheme="minorHAnsi" w:eastAsiaTheme="minorEastAsia" w:hAnsiTheme="minorHAnsi" w:cstheme="minorBidi"/>
            <w:b w:val="0"/>
            <w:sz w:val="22"/>
            <w:lang w:eastAsia="en-US"/>
          </w:rPr>
          <w:tab/>
        </w:r>
        <w:r w:rsidR="00430C27" w:rsidRPr="005C536C">
          <w:rPr>
            <w:rStyle w:val="Hyperlink"/>
            <w:sz w:val="22"/>
          </w:rPr>
          <w:t>It can be wasteful to transmit an entire multi-symbol PUSCH only to convey a couple of bits of WB CSI</w:t>
        </w:r>
      </w:hyperlink>
    </w:p>
    <w:p w14:paraId="25D7F809" w14:textId="07182659" w:rsidR="00430C27" w:rsidRPr="005C536C" w:rsidRDefault="00463354">
      <w:pPr>
        <w:pStyle w:val="TOC1"/>
        <w:rPr>
          <w:rFonts w:asciiTheme="minorHAnsi" w:eastAsiaTheme="minorEastAsia" w:hAnsiTheme="minorHAnsi" w:cstheme="minorBidi"/>
          <w:b w:val="0"/>
          <w:sz w:val="22"/>
          <w:lang w:eastAsia="en-US"/>
        </w:rPr>
      </w:pPr>
      <w:hyperlink w:anchor="_Toc525917575" w:history="1">
        <w:r w:rsidR="00430C27" w:rsidRPr="005C536C">
          <w:rPr>
            <w:rStyle w:val="Hyperlink"/>
            <w:sz w:val="22"/>
          </w:rPr>
          <w:t>Observation 2</w:t>
        </w:r>
        <w:r w:rsidR="00430C27" w:rsidRPr="005C536C">
          <w:rPr>
            <w:rFonts w:asciiTheme="minorHAnsi" w:eastAsiaTheme="minorEastAsia" w:hAnsiTheme="minorHAnsi" w:cstheme="minorBidi"/>
            <w:b w:val="0"/>
            <w:sz w:val="22"/>
            <w:lang w:eastAsia="en-US"/>
          </w:rPr>
          <w:tab/>
        </w:r>
        <w:r w:rsidR="00430C27" w:rsidRPr="005C536C">
          <w:rPr>
            <w:rStyle w:val="Hyperlink"/>
            <w:sz w:val="22"/>
          </w:rPr>
          <w:t>Aperiodic CSI on PUCCH allows for same-slot CSI feedback</w:t>
        </w:r>
      </w:hyperlink>
    </w:p>
    <w:p w14:paraId="69532ABD" w14:textId="117F42EB" w:rsidR="00430C27" w:rsidRPr="005C536C" w:rsidRDefault="00463354">
      <w:pPr>
        <w:pStyle w:val="TOC1"/>
        <w:rPr>
          <w:rFonts w:asciiTheme="minorHAnsi" w:eastAsiaTheme="minorEastAsia" w:hAnsiTheme="minorHAnsi" w:cstheme="minorBidi"/>
          <w:b w:val="0"/>
          <w:sz w:val="22"/>
          <w:lang w:eastAsia="en-US"/>
        </w:rPr>
      </w:pPr>
      <w:hyperlink w:anchor="_Toc525917576" w:history="1">
        <w:r w:rsidR="00430C27" w:rsidRPr="005C536C">
          <w:rPr>
            <w:rStyle w:val="Hyperlink"/>
            <w:sz w:val="22"/>
          </w:rPr>
          <w:t>Observation 3</w:t>
        </w:r>
        <w:r w:rsidR="00430C27" w:rsidRPr="005C536C">
          <w:rPr>
            <w:rFonts w:asciiTheme="minorHAnsi" w:eastAsiaTheme="minorEastAsia" w:hAnsiTheme="minorHAnsi" w:cstheme="minorBidi"/>
            <w:b w:val="0"/>
            <w:sz w:val="22"/>
            <w:lang w:eastAsia="en-US"/>
          </w:rPr>
          <w:tab/>
        </w:r>
        <w:r w:rsidR="00430C27" w:rsidRPr="005C536C">
          <w:rPr>
            <w:rStyle w:val="Hyperlink"/>
            <w:sz w:val="22"/>
          </w:rPr>
          <w:t>It is beneficial to trigger A-CSI on PUCCH with DL-related DCI</w:t>
        </w:r>
      </w:hyperlink>
    </w:p>
    <w:p w14:paraId="369B7AB7" w14:textId="0954AF38" w:rsidR="00430C27" w:rsidRPr="005C536C" w:rsidRDefault="00463354">
      <w:pPr>
        <w:pStyle w:val="TOC1"/>
        <w:rPr>
          <w:rFonts w:asciiTheme="minorHAnsi" w:eastAsiaTheme="minorEastAsia" w:hAnsiTheme="minorHAnsi" w:cstheme="minorBidi"/>
          <w:b w:val="0"/>
          <w:sz w:val="22"/>
          <w:lang w:eastAsia="en-US"/>
        </w:rPr>
      </w:pPr>
      <w:hyperlink w:anchor="_Toc525917577" w:history="1">
        <w:r w:rsidR="00430C27" w:rsidRPr="005C536C">
          <w:rPr>
            <w:rStyle w:val="Hyperlink"/>
            <w:sz w:val="22"/>
          </w:rPr>
          <w:t>Observation 4</w:t>
        </w:r>
        <w:r w:rsidR="00430C27" w:rsidRPr="005C536C">
          <w:rPr>
            <w:rFonts w:asciiTheme="minorHAnsi" w:eastAsiaTheme="minorEastAsia" w:hAnsiTheme="minorHAnsi" w:cstheme="minorBidi"/>
            <w:b w:val="0"/>
            <w:sz w:val="22"/>
            <w:lang w:eastAsia="en-US"/>
          </w:rPr>
          <w:tab/>
        </w:r>
        <w:r w:rsidR="00430C27" w:rsidRPr="005C536C">
          <w:rPr>
            <w:rStyle w:val="Hyperlink"/>
            <w:sz w:val="22"/>
          </w:rPr>
          <w:t>Multiplexing HARQ-ACK and A-CSI on the same PUCCH is desirable</w:t>
        </w:r>
      </w:hyperlink>
    </w:p>
    <w:p w14:paraId="52E627AF" w14:textId="4C2C1C2A" w:rsidR="002611E7" w:rsidRPr="000C64D4" w:rsidRDefault="00E5689D" w:rsidP="000C64D4">
      <w:pPr>
        <w:pStyle w:val="BodyText"/>
      </w:pPr>
      <w:r w:rsidRPr="005C536C">
        <w:rPr>
          <w:bCs/>
          <w:noProof/>
          <w:szCs w:val="22"/>
        </w:rPr>
        <w:fldChar w:fldCharType="end"/>
      </w:r>
    </w:p>
    <w:p w14:paraId="43297EAD" w14:textId="77777777" w:rsidR="00430C27" w:rsidRPr="00430C27" w:rsidRDefault="00430C27" w:rsidP="00430C27">
      <w:pPr>
        <w:pStyle w:val="BodyText"/>
        <w:rPr>
          <w:b/>
          <w:bCs/>
        </w:rPr>
      </w:pPr>
      <w:r w:rsidRPr="00430C27">
        <w:t>Based on the discussion in the previous sections we propose the following:</w:t>
      </w:r>
    </w:p>
    <w:p w14:paraId="33520E43" w14:textId="7E1344FC" w:rsidR="00430C27" w:rsidRDefault="00430C27">
      <w:pPr>
        <w:pStyle w:val="TableofFigures"/>
        <w:tabs>
          <w:tab w:val="right" w:leader="dot" w:pos="9350"/>
        </w:tabs>
        <w:rPr>
          <w:rFonts w:eastAsiaTheme="minorEastAsia"/>
          <w:b w:val="0"/>
          <w:noProof/>
        </w:rPr>
      </w:pPr>
      <w:r w:rsidRPr="00430C27">
        <w:rPr>
          <w:bCs/>
        </w:rPr>
        <w:fldChar w:fldCharType="begin"/>
      </w:r>
      <w:r w:rsidRPr="00430C27">
        <w:rPr>
          <w:bCs/>
        </w:rPr>
        <w:instrText xml:space="preserve"> TOC \n \h \z \t "Proposal" \c </w:instrText>
      </w:r>
      <w:r w:rsidRPr="00430C27">
        <w:rPr>
          <w:bCs/>
        </w:rPr>
        <w:fldChar w:fldCharType="separate"/>
      </w:r>
      <w:hyperlink w:anchor="_Toc525917801" w:history="1">
        <w:r w:rsidRPr="004F48C7">
          <w:rPr>
            <w:rStyle w:val="Hyperlink"/>
            <w:noProof/>
          </w:rPr>
          <w:t>Proposal 1</w:t>
        </w:r>
        <w:r>
          <w:rPr>
            <w:rFonts w:eastAsiaTheme="minorEastAsia"/>
            <w:b w:val="0"/>
            <w:noProof/>
          </w:rPr>
          <w:tab/>
        </w:r>
        <w:r w:rsidRPr="004F48C7">
          <w:rPr>
            <w:rStyle w:val="Hyperlink"/>
            <w:noProof/>
          </w:rPr>
          <w:t>Introduce a</w:t>
        </w:r>
        <w:bookmarkStart w:id="14" w:name="_GoBack"/>
        <w:bookmarkEnd w:id="14"/>
        <w:r w:rsidRPr="004F48C7">
          <w:rPr>
            <w:rStyle w:val="Hyperlink"/>
            <w:noProof/>
          </w:rPr>
          <w:t>periodic CSI feedback on PUCCH</w:t>
        </w:r>
      </w:hyperlink>
    </w:p>
    <w:p w14:paraId="6DF9E4F9" w14:textId="7506B358" w:rsidR="00430C27" w:rsidRDefault="00463354">
      <w:pPr>
        <w:pStyle w:val="TableofFigures"/>
        <w:tabs>
          <w:tab w:val="right" w:leader="dot" w:pos="9350"/>
        </w:tabs>
        <w:rPr>
          <w:rFonts w:eastAsiaTheme="minorEastAsia"/>
          <w:b w:val="0"/>
          <w:noProof/>
        </w:rPr>
      </w:pPr>
      <w:hyperlink w:anchor="_Toc525917802" w:history="1">
        <w:r w:rsidR="00430C27" w:rsidRPr="004F48C7">
          <w:rPr>
            <w:rStyle w:val="Hyperlink"/>
            <w:noProof/>
          </w:rPr>
          <w:t>Proposal 2</w:t>
        </w:r>
        <w:r w:rsidR="00430C27">
          <w:rPr>
            <w:rFonts w:eastAsiaTheme="minorEastAsia"/>
            <w:b w:val="0"/>
            <w:noProof/>
          </w:rPr>
          <w:tab/>
        </w:r>
        <w:r w:rsidR="00430C27" w:rsidRPr="004F48C7">
          <w:rPr>
            <w:rStyle w:val="Hyperlink"/>
            <w:noProof/>
          </w:rPr>
          <w:t>To support aperiodic CSI feedback on PUCCH, a CSI request field can be configured to be present in DL-related DCI</w:t>
        </w:r>
      </w:hyperlink>
    </w:p>
    <w:p w14:paraId="26D20CFC" w14:textId="34FE68BD" w:rsidR="00430C27" w:rsidRDefault="00463354">
      <w:pPr>
        <w:pStyle w:val="TableofFigures"/>
        <w:tabs>
          <w:tab w:val="right" w:leader="dot" w:pos="9350"/>
        </w:tabs>
        <w:rPr>
          <w:rFonts w:eastAsiaTheme="minorEastAsia"/>
          <w:b w:val="0"/>
          <w:noProof/>
        </w:rPr>
      </w:pPr>
      <w:hyperlink w:anchor="_Toc525917803" w:history="1">
        <w:r w:rsidR="00430C27" w:rsidRPr="004F48C7">
          <w:rPr>
            <w:rStyle w:val="Hyperlink"/>
            <w:noProof/>
          </w:rPr>
          <w:t>Proposal 3</w:t>
        </w:r>
        <w:r w:rsidR="00430C27">
          <w:rPr>
            <w:rFonts w:eastAsiaTheme="minorEastAsia"/>
            <w:b w:val="0"/>
            <w:noProof/>
          </w:rPr>
          <w:tab/>
        </w:r>
        <w:r w:rsidR="00430C27" w:rsidRPr="004F48C7">
          <w:rPr>
            <w:rStyle w:val="Hyperlink"/>
            <w:noProof/>
          </w:rPr>
          <w:t>The PUCCH resource indicator field in DL-related DCI indicates the PUCCH resource for the triggered A-CSI report</w:t>
        </w:r>
      </w:hyperlink>
    </w:p>
    <w:p w14:paraId="2BD47B50" w14:textId="4971F1B2" w:rsidR="00430C27" w:rsidRPr="000C64D4" w:rsidRDefault="00430C27" w:rsidP="00430C27">
      <w:pPr>
        <w:pStyle w:val="BodyText"/>
      </w:pPr>
      <w:r w:rsidRPr="00430C27">
        <w:fldChar w:fldCharType="end"/>
      </w:r>
    </w:p>
    <w:p w14:paraId="5B3C850D" w14:textId="3D8F06BB" w:rsidR="00F507D1" w:rsidRDefault="00F507D1" w:rsidP="00CE0424">
      <w:pPr>
        <w:pStyle w:val="Heading1"/>
      </w:pPr>
      <w:bookmarkStart w:id="15" w:name="_In-sequence_SDU_delivery"/>
      <w:bookmarkEnd w:id="15"/>
      <w:r w:rsidRPr="00CE0424">
        <w:t>References</w:t>
      </w:r>
    </w:p>
    <w:p w14:paraId="6ECEEE02" w14:textId="77777777" w:rsidR="00715EDD" w:rsidRPr="00C22575" w:rsidRDefault="00715EDD" w:rsidP="00715EDD">
      <w:pPr>
        <w:pStyle w:val="Reference"/>
        <w:numPr>
          <w:ilvl w:val="0"/>
          <w:numId w:val="40"/>
        </w:numPr>
        <w:tabs>
          <w:tab w:val="clear" w:pos="567"/>
          <w:tab w:val="num" w:pos="709"/>
        </w:tabs>
        <w:overflowPunct w:val="0"/>
        <w:autoSpaceDE w:val="0"/>
        <w:autoSpaceDN w:val="0"/>
        <w:adjustRightInd w:val="0"/>
        <w:ind w:left="709"/>
        <w:textAlignment w:val="baseline"/>
      </w:pPr>
      <w:bookmarkStart w:id="16" w:name="_Ref525893644"/>
      <w:r w:rsidRPr="00877318">
        <w:t>RP-181477 New SID on Physical Layer Enhancements for NR URLLC, Huawei, HiSilicon, Nokia, Nokia Shanghai Bell</w:t>
      </w:r>
      <w:bookmarkEnd w:id="16"/>
      <w:r w:rsidRPr="00877318">
        <w:t xml:space="preserve">  </w:t>
      </w:r>
    </w:p>
    <w:p w14:paraId="138DAD21" w14:textId="77777777" w:rsidR="00715EDD" w:rsidRDefault="00715EDD" w:rsidP="00715EDD">
      <w:pPr>
        <w:pStyle w:val="Reference"/>
        <w:numPr>
          <w:ilvl w:val="0"/>
          <w:numId w:val="40"/>
        </w:numPr>
        <w:tabs>
          <w:tab w:val="clear" w:pos="567"/>
          <w:tab w:val="num" w:pos="709"/>
        </w:tabs>
        <w:overflowPunct w:val="0"/>
        <w:autoSpaceDE w:val="0"/>
        <w:autoSpaceDN w:val="0"/>
        <w:adjustRightInd w:val="0"/>
        <w:ind w:left="709"/>
        <w:textAlignment w:val="baseline"/>
      </w:pPr>
      <w:bookmarkStart w:id="17" w:name="_Ref525893651"/>
      <w:r w:rsidRPr="00D423F2">
        <w:t>RAN1 #9</w:t>
      </w:r>
      <w:r>
        <w:t>4</w:t>
      </w:r>
      <w:r w:rsidRPr="00D423F2">
        <w:t xml:space="preserve"> Chairman’s Notes</w:t>
      </w:r>
      <w:bookmarkEnd w:id="17"/>
    </w:p>
    <w:p w14:paraId="33020036" w14:textId="77777777" w:rsidR="00715EDD" w:rsidRPr="00715EDD" w:rsidRDefault="00715EDD" w:rsidP="00715EDD">
      <w:pPr>
        <w:rPr>
          <w:lang w:eastAsia="zh-CN"/>
        </w:rPr>
      </w:pPr>
    </w:p>
    <w:p w14:paraId="19FDBFB8" w14:textId="4D16BD47" w:rsidR="00DF63CA" w:rsidRPr="00CE0424" w:rsidRDefault="00DF63CA" w:rsidP="000C64D4">
      <w:pPr>
        <w:pStyle w:val="Reference"/>
        <w:numPr>
          <w:ilvl w:val="0"/>
          <w:numId w:val="0"/>
        </w:numPr>
        <w:ind w:left="567"/>
      </w:pPr>
    </w:p>
    <w:sectPr w:rsidR="00DF63CA"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4CBE0" w14:textId="77777777" w:rsidR="00463354" w:rsidRDefault="00463354">
      <w:r>
        <w:separator/>
      </w:r>
    </w:p>
  </w:endnote>
  <w:endnote w:type="continuationSeparator" w:id="0">
    <w:p w14:paraId="53CC178B" w14:textId="77777777" w:rsidR="00463354" w:rsidRDefault="0046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37F7C" w14:textId="77777777" w:rsidR="00463354" w:rsidRDefault="00463354">
      <w:r>
        <w:separator/>
      </w:r>
    </w:p>
  </w:footnote>
  <w:footnote w:type="continuationSeparator" w:id="0">
    <w:p w14:paraId="4ED78543" w14:textId="77777777" w:rsidR="00463354" w:rsidRDefault="00463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315C38"/>
    <w:multiLevelType w:val="hybridMultilevel"/>
    <w:tmpl w:val="31D8A98C"/>
    <w:lvl w:ilvl="0" w:tplc="0DDE72B4">
      <w:start w:val="1"/>
      <w:numFmt w:val="bullet"/>
      <w:lvlText w:val="›"/>
      <w:lvlJc w:val="left"/>
      <w:pPr>
        <w:tabs>
          <w:tab w:val="num" w:pos="720"/>
        </w:tabs>
        <w:ind w:left="720" w:hanging="360"/>
      </w:pPr>
      <w:rPr>
        <w:rFonts w:ascii="Arial" w:hAnsi="Arial" w:hint="default"/>
      </w:rPr>
    </w:lvl>
    <w:lvl w:ilvl="1" w:tplc="D2AE06DA" w:tentative="1">
      <w:start w:val="1"/>
      <w:numFmt w:val="bullet"/>
      <w:lvlText w:val="›"/>
      <w:lvlJc w:val="left"/>
      <w:pPr>
        <w:tabs>
          <w:tab w:val="num" w:pos="1440"/>
        </w:tabs>
        <w:ind w:left="1440" w:hanging="360"/>
      </w:pPr>
      <w:rPr>
        <w:rFonts w:ascii="Arial" w:hAnsi="Arial" w:hint="default"/>
      </w:rPr>
    </w:lvl>
    <w:lvl w:ilvl="2" w:tplc="3D8EE62A" w:tentative="1">
      <w:start w:val="1"/>
      <w:numFmt w:val="bullet"/>
      <w:lvlText w:val="›"/>
      <w:lvlJc w:val="left"/>
      <w:pPr>
        <w:tabs>
          <w:tab w:val="num" w:pos="2160"/>
        </w:tabs>
        <w:ind w:left="2160" w:hanging="360"/>
      </w:pPr>
      <w:rPr>
        <w:rFonts w:ascii="Arial" w:hAnsi="Arial" w:hint="default"/>
      </w:rPr>
    </w:lvl>
    <w:lvl w:ilvl="3" w:tplc="6AC691A2">
      <w:start w:val="1"/>
      <w:numFmt w:val="bullet"/>
      <w:lvlText w:val="›"/>
      <w:lvlJc w:val="left"/>
      <w:pPr>
        <w:tabs>
          <w:tab w:val="num" w:pos="2880"/>
        </w:tabs>
        <w:ind w:left="2880" w:hanging="360"/>
      </w:pPr>
      <w:rPr>
        <w:rFonts w:ascii="Arial" w:hAnsi="Arial" w:hint="default"/>
      </w:rPr>
    </w:lvl>
    <w:lvl w:ilvl="4" w:tplc="7DA213A8" w:tentative="1">
      <w:start w:val="1"/>
      <w:numFmt w:val="bullet"/>
      <w:lvlText w:val="›"/>
      <w:lvlJc w:val="left"/>
      <w:pPr>
        <w:tabs>
          <w:tab w:val="num" w:pos="3600"/>
        </w:tabs>
        <w:ind w:left="3600" w:hanging="360"/>
      </w:pPr>
      <w:rPr>
        <w:rFonts w:ascii="Arial" w:hAnsi="Arial" w:hint="default"/>
      </w:rPr>
    </w:lvl>
    <w:lvl w:ilvl="5" w:tplc="76284FFE" w:tentative="1">
      <w:start w:val="1"/>
      <w:numFmt w:val="bullet"/>
      <w:lvlText w:val="›"/>
      <w:lvlJc w:val="left"/>
      <w:pPr>
        <w:tabs>
          <w:tab w:val="num" w:pos="4320"/>
        </w:tabs>
        <w:ind w:left="4320" w:hanging="360"/>
      </w:pPr>
      <w:rPr>
        <w:rFonts w:ascii="Arial" w:hAnsi="Arial" w:hint="default"/>
      </w:rPr>
    </w:lvl>
    <w:lvl w:ilvl="6" w:tplc="4F98E67C" w:tentative="1">
      <w:start w:val="1"/>
      <w:numFmt w:val="bullet"/>
      <w:lvlText w:val="›"/>
      <w:lvlJc w:val="left"/>
      <w:pPr>
        <w:tabs>
          <w:tab w:val="num" w:pos="5040"/>
        </w:tabs>
        <w:ind w:left="5040" w:hanging="360"/>
      </w:pPr>
      <w:rPr>
        <w:rFonts w:ascii="Arial" w:hAnsi="Arial" w:hint="default"/>
      </w:rPr>
    </w:lvl>
    <w:lvl w:ilvl="7" w:tplc="A0E054B2" w:tentative="1">
      <w:start w:val="1"/>
      <w:numFmt w:val="bullet"/>
      <w:lvlText w:val="›"/>
      <w:lvlJc w:val="left"/>
      <w:pPr>
        <w:tabs>
          <w:tab w:val="num" w:pos="5760"/>
        </w:tabs>
        <w:ind w:left="5760" w:hanging="360"/>
      </w:pPr>
      <w:rPr>
        <w:rFonts w:ascii="Arial" w:hAnsi="Arial" w:hint="default"/>
      </w:rPr>
    </w:lvl>
    <w:lvl w:ilvl="8" w:tplc="C05AF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5811B9"/>
    <w:multiLevelType w:val="hybridMultilevel"/>
    <w:tmpl w:val="0D6AD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646981"/>
    <w:multiLevelType w:val="hybridMultilevel"/>
    <w:tmpl w:val="89C4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FE147C"/>
    <w:multiLevelType w:val="hybridMultilevel"/>
    <w:tmpl w:val="3D08BF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300C0031"/>
    <w:multiLevelType w:val="hybridMultilevel"/>
    <w:tmpl w:val="21923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E5C50"/>
    <w:multiLevelType w:val="hybridMultilevel"/>
    <w:tmpl w:val="663EC57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187C40"/>
    <w:multiLevelType w:val="hybridMultilevel"/>
    <w:tmpl w:val="B8447678"/>
    <w:lvl w:ilvl="0" w:tplc="04090001">
      <w:start w:val="1"/>
      <w:numFmt w:val="bullet"/>
      <w:lvlText w:val=""/>
      <w:lvlJc w:val="left"/>
      <w:pPr>
        <w:ind w:left="720" w:hanging="360"/>
      </w:pPr>
      <w:rPr>
        <w:rFonts w:ascii="Symbol" w:hAnsi="Symbol" w:hint="default"/>
      </w:rPr>
    </w:lvl>
    <w:lvl w:ilvl="1" w:tplc="341228EC">
      <w:numFmt w:val="bullet"/>
      <w:lvlText w:val="•"/>
      <w:lvlJc w:val="left"/>
      <w:pPr>
        <w:ind w:left="1590" w:hanging="510"/>
      </w:pPr>
      <w:rPr>
        <w:rFonts w:ascii="Calibri" w:eastAsiaTheme="minorHAnsi" w:hAnsi="Calibri" w:cstheme="minorBid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4D4A2E2"/>
    <w:lvl w:ilvl="0" w:tplc="78A864BC">
      <w:start w:val="1"/>
      <w:numFmt w:val="decimal"/>
      <w:pStyle w:val="Proposal"/>
      <w:lvlText w:val="Proposal %1"/>
      <w:lvlJc w:val="left"/>
      <w:pPr>
        <w:tabs>
          <w:tab w:val="num" w:pos="3005"/>
        </w:tabs>
        <w:ind w:left="3005" w:hanging="1304"/>
      </w:pPr>
      <w:rPr>
        <w:rFonts w:hint="default"/>
      </w:rPr>
    </w:lvl>
    <w:lvl w:ilvl="1" w:tplc="04090019">
      <w:start w:val="1"/>
      <w:numFmt w:val="lowerLetter"/>
      <w:lvlText w:val="%2."/>
      <w:lvlJc w:val="left"/>
      <w:pPr>
        <w:tabs>
          <w:tab w:val="num" w:pos="3141"/>
        </w:tabs>
        <w:ind w:left="3141" w:hanging="360"/>
      </w:pPr>
    </w:lvl>
    <w:lvl w:ilvl="2" w:tplc="04090001">
      <w:start w:val="1"/>
      <w:numFmt w:val="bullet"/>
      <w:lvlText w:val=""/>
      <w:lvlJc w:val="left"/>
      <w:pPr>
        <w:tabs>
          <w:tab w:val="num" w:pos="3861"/>
        </w:tabs>
        <w:ind w:left="3861" w:hanging="180"/>
      </w:pPr>
      <w:rPr>
        <w:rFonts w:ascii="Symbol" w:hAnsi="Symbol" w:hint="default"/>
      </w:rPr>
    </w:lvl>
    <w:lvl w:ilvl="3" w:tplc="04090001">
      <w:start w:val="1"/>
      <w:numFmt w:val="bullet"/>
      <w:lvlText w:val=""/>
      <w:lvlJc w:val="left"/>
      <w:pPr>
        <w:tabs>
          <w:tab w:val="num" w:pos="4581"/>
        </w:tabs>
        <w:ind w:left="4581" w:hanging="360"/>
      </w:pPr>
      <w:rPr>
        <w:rFonts w:ascii="Symbol" w:hAnsi="Symbol" w:hint="default"/>
      </w:r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21" w15:restartNumberingAfterBreak="0">
    <w:nsid w:val="3B172111"/>
    <w:multiLevelType w:val="hybridMultilevel"/>
    <w:tmpl w:val="5F90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A26353"/>
    <w:multiLevelType w:val="hybridMultilevel"/>
    <w:tmpl w:val="59A200A6"/>
    <w:lvl w:ilvl="0" w:tplc="375AF868">
      <w:start w:val="1"/>
      <w:numFmt w:val="bullet"/>
      <w:lvlText w:val="–"/>
      <w:lvlJc w:val="left"/>
      <w:pPr>
        <w:tabs>
          <w:tab w:val="num" w:pos="720"/>
        </w:tabs>
        <w:ind w:left="720" w:hanging="360"/>
      </w:pPr>
      <w:rPr>
        <w:rFonts w:ascii="Ericsson Capital TT" w:hAnsi="Ericsson Capital TT" w:hint="default"/>
      </w:rPr>
    </w:lvl>
    <w:lvl w:ilvl="1" w:tplc="76925430">
      <w:start w:val="1"/>
      <w:numFmt w:val="bullet"/>
      <w:lvlText w:val="–"/>
      <w:lvlJc w:val="left"/>
      <w:pPr>
        <w:tabs>
          <w:tab w:val="num" w:pos="1440"/>
        </w:tabs>
        <w:ind w:left="1440" w:hanging="360"/>
      </w:pPr>
      <w:rPr>
        <w:rFonts w:ascii="Ericsson Capital TT" w:hAnsi="Ericsson Capital TT" w:hint="default"/>
      </w:rPr>
    </w:lvl>
    <w:lvl w:ilvl="2" w:tplc="0D106066">
      <w:numFmt w:val="bullet"/>
      <w:lvlText w:val="›"/>
      <w:lvlJc w:val="left"/>
      <w:pPr>
        <w:tabs>
          <w:tab w:val="num" w:pos="2160"/>
        </w:tabs>
        <w:ind w:left="2160" w:hanging="360"/>
      </w:pPr>
      <w:rPr>
        <w:rFonts w:ascii="Ericsson Capital TT" w:hAnsi="Ericsson Capital TT" w:hint="default"/>
      </w:rPr>
    </w:lvl>
    <w:lvl w:ilvl="3" w:tplc="84401312" w:tentative="1">
      <w:start w:val="1"/>
      <w:numFmt w:val="bullet"/>
      <w:lvlText w:val="–"/>
      <w:lvlJc w:val="left"/>
      <w:pPr>
        <w:tabs>
          <w:tab w:val="num" w:pos="2880"/>
        </w:tabs>
        <w:ind w:left="2880" w:hanging="360"/>
      </w:pPr>
      <w:rPr>
        <w:rFonts w:ascii="Ericsson Capital TT" w:hAnsi="Ericsson Capital TT" w:hint="default"/>
      </w:rPr>
    </w:lvl>
    <w:lvl w:ilvl="4" w:tplc="12ACA8A4" w:tentative="1">
      <w:start w:val="1"/>
      <w:numFmt w:val="bullet"/>
      <w:lvlText w:val="–"/>
      <w:lvlJc w:val="left"/>
      <w:pPr>
        <w:tabs>
          <w:tab w:val="num" w:pos="3600"/>
        </w:tabs>
        <w:ind w:left="3600" w:hanging="360"/>
      </w:pPr>
      <w:rPr>
        <w:rFonts w:ascii="Ericsson Capital TT" w:hAnsi="Ericsson Capital TT" w:hint="default"/>
      </w:rPr>
    </w:lvl>
    <w:lvl w:ilvl="5" w:tplc="05FE5678" w:tentative="1">
      <w:start w:val="1"/>
      <w:numFmt w:val="bullet"/>
      <w:lvlText w:val="–"/>
      <w:lvlJc w:val="left"/>
      <w:pPr>
        <w:tabs>
          <w:tab w:val="num" w:pos="4320"/>
        </w:tabs>
        <w:ind w:left="4320" w:hanging="360"/>
      </w:pPr>
      <w:rPr>
        <w:rFonts w:ascii="Ericsson Capital TT" w:hAnsi="Ericsson Capital TT" w:hint="default"/>
      </w:rPr>
    </w:lvl>
    <w:lvl w:ilvl="6" w:tplc="9A2E6E28" w:tentative="1">
      <w:start w:val="1"/>
      <w:numFmt w:val="bullet"/>
      <w:lvlText w:val="–"/>
      <w:lvlJc w:val="left"/>
      <w:pPr>
        <w:tabs>
          <w:tab w:val="num" w:pos="5040"/>
        </w:tabs>
        <w:ind w:left="5040" w:hanging="360"/>
      </w:pPr>
      <w:rPr>
        <w:rFonts w:ascii="Ericsson Capital TT" w:hAnsi="Ericsson Capital TT" w:hint="default"/>
      </w:rPr>
    </w:lvl>
    <w:lvl w:ilvl="7" w:tplc="719E4F94" w:tentative="1">
      <w:start w:val="1"/>
      <w:numFmt w:val="bullet"/>
      <w:lvlText w:val="–"/>
      <w:lvlJc w:val="left"/>
      <w:pPr>
        <w:tabs>
          <w:tab w:val="num" w:pos="5760"/>
        </w:tabs>
        <w:ind w:left="5760" w:hanging="360"/>
      </w:pPr>
      <w:rPr>
        <w:rFonts w:ascii="Ericsson Capital TT" w:hAnsi="Ericsson Capital TT" w:hint="default"/>
      </w:rPr>
    </w:lvl>
    <w:lvl w:ilvl="8" w:tplc="303A81B2"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3B2D16"/>
    <w:multiLevelType w:val="hybridMultilevel"/>
    <w:tmpl w:val="A3AA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993353"/>
    <w:multiLevelType w:val="hybridMultilevel"/>
    <w:tmpl w:val="494430A2"/>
    <w:lvl w:ilvl="0" w:tplc="3558B79C">
      <w:start w:val="1"/>
      <w:numFmt w:val="bullet"/>
      <w:lvlText w:val="›"/>
      <w:lvlJc w:val="left"/>
      <w:pPr>
        <w:tabs>
          <w:tab w:val="num" w:pos="360"/>
        </w:tabs>
        <w:ind w:left="360" w:hanging="360"/>
      </w:pPr>
      <w:rPr>
        <w:rFonts w:ascii="Arial" w:hAnsi="Arial" w:hint="default"/>
      </w:rPr>
    </w:lvl>
    <w:lvl w:ilvl="1" w:tplc="61CC48C4">
      <w:start w:val="1"/>
      <w:numFmt w:val="bullet"/>
      <w:lvlText w:val="›"/>
      <w:lvlJc w:val="left"/>
      <w:pPr>
        <w:tabs>
          <w:tab w:val="num" w:pos="1080"/>
        </w:tabs>
        <w:ind w:left="1080" w:hanging="360"/>
      </w:pPr>
      <w:rPr>
        <w:rFonts w:ascii="Arial" w:hAnsi="Arial" w:hint="default"/>
      </w:rPr>
    </w:lvl>
    <w:lvl w:ilvl="2" w:tplc="D8024DBA">
      <w:start w:val="1"/>
      <w:numFmt w:val="bullet"/>
      <w:lvlText w:val="›"/>
      <w:lvlJc w:val="left"/>
      <w:pPr>
        <w:tabs>
          <w:tab w:val="num" w:pos="1800"/>
        </w:tabs>
        <w:ind w:left="1800" w:hanging="360"/>
      </w:pPr>
      <w:rPr>
        <w:rFonts w:ascii="Arial" w:hAnsi="Arial" w:hint="default"/>
      </w:rPr>
    </w:lvl>
    <w:lvl w:ilvl="3" w:tplc="4226020A">
      <w:numFmt w:val="bullet"/>
      <w:lvlText w:val="›"/>
      <w:lvlJc w:val="left"/>
      <w:pPr>
        <w:tabs>
          <w:tab w:val="num" w:pos="2520"/>
        </w:tabs>
        <w:ind w:left="2520" w:hanging="360"/>
      </w:pPr>
      <w:rPr>
        <w:rFonts w:ascii="Arial" w:hAnsi="Arial" w:hint="default"/>
      </w:rPr>
    </w:lvl>
    <w:lvl w:ilvl="4" w:tplc="8746F36C">
      <w:numFmt w:val="bullet"/>
      <w:lvlText w:val="›"/>
      <w:lvlJc w:val="left"/>
      <w:pPr>
        <w:tabs>
          <w:tab w:val="num" w:pos="3240"/>
        </w:tabs>
        <w:ind w:left="3240" w:hanging="360"/>
      </w:pPr>
      <w:rPr>
        <w:rFonts w:ascii="Arial" w:hAnsi="Arial" w:hint="default"/>
      </w:rPr>
    </w:lvl>
    <w:lvl w:ilvl="5" w:tplc="328476C0">
      <w:numFmt w:val="bullet"/>
      <w:lvlText w:val="›"/>
      <w:lvlJc w:val="left"/>
      <w:pPr>
        <w:tabs>
          <w:tab w:val="num" w:pos="3960"/>
        </w:tabs>
        <w:ind w:left="3960" w:hanging="360"/>
      </w:pPr>
      <w:rPr>
        <w:rFonts w:ascii="Arial" w:hAnsi="Arial" w:hint="default"/>
      </w:rPr>
    </w:lvl>
    <w:lvl w:ilvl="6" w:tplc="3996B2F2">
      <w:numFmt w:val="bullet"/>
      <w:lvlText w:val="›"/>
      <w:lvlJc w:val="left"/>
      <w:pPr>
        <w:tabs>
          <w:tab w:val="num" w:pos="4680"/>
        </w:tabs>
        <w:ind w:left="4680" w:hanging="360"/>
      </w:pPr>
      <w:rPr>
        <w:rFonts w:ascii="Arial" w:hAnsi="Arial" w:hint="default"/>
      </w:rPr>
    </w:lvl>
    <w:lvl w:ilvl="7" w:tplc="A2AE6AF2" w:tentative="1">
      <w:start w:val="1"/>
      <w:numFmt w:val="bullet"/>
      <w:lvlText w:val="›"/>
      <w:lvlJc w:val="left"/>
      <w:pPr>
        <w:tabs>
          <w:tab w:val="num" w:pos="5400"/>
        </w:tabs>
        <w:ind w:left="5400" w:hanging="360"/>
      </w:pPr>
      <w:rPr>
        <w:rFonts w:ascii="Arial" w:hAnsi="Arial" w:hint="default"/>
      </w:rPr>
    </w:lvl>
    <w:lvl w:ilvl="8" w:tplc="60D8A9C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01B626B"/>
    <w:multiLevelType w:val="hybridMultilevel"/>
    <w:tmpl w:val="F40C29A4"/>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77873"/>
    <w:multiLevelType w:val="hybridMultilevel"/>
    <w:tmpl w:val="643E20E0"/>
    <w:lvl w:ilvl="0" w:tplc="7EA05FEC">
      <w:start w:val="1"/>
      <w:numFmt w:val="bullet"/>
      <w:lvlText w:val="›"/>
      <w:lvlJc w:val="left"/>
      <w:pPr>
        <w:tabs>
          <w:tab w:val="num" w:pos="720"/>
        </w:tabs>
        <w:ind w:left="720" w:hanging="360"/>
      </w:pPr>
      <w:rPr>
        <w:rFonts w:ascii="Arial" w:hAnsi="Arial" w:hint="default"/>
      </w:rPr>
    </w:lvl>
    <w:lvl w:ilvl="1" w:tplc="4F4CA140">
      <w:numFmt w:val="bullet"/>
      <w:lvlText w:val="–"/>
      <w:lvlJc w:val="left"/>
      <w:pPr>
        <w:tabs>
          <w:tab w:val="num" w:pos="1440"/>
        </w:tabs>
        <w:ind w:left="1440" w:hanging="360"/>
      </w:pPr>
      <w:rPr>
        <w:rFonts w:ascii="Ericsson Capital TT" w:hAnsi="Ericsson Capital TT" w:hint="default"/>
      </w:rPr>
    </w:lvl>
    <w:lvl w:ilvl="2" w:tplc="AF746BEC">
      <w:numFmt w:val="bullet"/>
      <w:lvlText w:val="›"/>
      <w:lvlJc w:val="left"/>
      <w:pPr>
        <w:tabs>
          <w:tab w:val="num" w:pos="2160"/>
        </w:tabs>
        <w:ind w:left="2160" w:hanging="360"/>
      </w:pPr>
      <w:rPr>
        <w:rFonts w:ascii="Ericsson Capital TT" w:hAnsi="Ericsson Capital TT" w:hint="default"/>
      </w:rPr>
    </w:lvl>
    <w:lvl w:ilvl="3" w:tplc="CD281292">
      <w:start w:val="1"/>
      <w:numFmt w:val="bullet"/>
      <w:lvlText w:val="›"/>
      <w:lvlJc w:val="left"/>
      <w:pPr>
        <w:tabs>
          <w:tab w:val="num" w:pos="2880"/>
        </w:tabs>
        <w:ind w:left="2880" w:hanging="360"/>
      </w:pPr>
      <w:rPr>
        <w:rFonts w:ascii="Arial" w:hAnsi="Arial" w:hint="default"/>
      </w:rPr>
    </w:lvl>
    <w:lvl w:ilvl="4" w:tplc="ECBA2274" w:tentative="1">
      <w:start w:val="1"/>
      <w:numFmt w:val="bullet"/>
      <w:lvlText w:val="›"/>
      <w:lvlJc w:val="left"/>
      <w:pPr>
        <w:tabs>
          <w:tab w:val="num" w:pos="3600"/>
        </w:tabs>
        <w:ind w:left="3600" w:hanging="360"/>
      </w:pPr>
      <w:rPr>
        <w:rFonts w:ascii="Arial" w:hAnsi="Arial" w:hint="default"/>
      </w:rPr>
    </w:lvl>
    <w:lvl w:ilvl="5" w:tplc="1226B366" w:tentative="1">
      <w:start w:val="1"/>
      <w:numFmt w:val="bullet"/>
      <w:lvlText w:val="›"/>
      <w:lvlJc w:val="left"/>
      <w:pPr>
        <w:tabs>
          <w:tab w:val="num" w:pos="4320"/>
        </w:tabs>
        <w:ind w:left="4320" w:hanging="360"/>
      </w:pPr>
      <w:rPr>
        <w:rFonts w:ascii="Arial" w:hAnsi="Arial" w:hint="default"/>
      </w:rPr>
    </w:lvl>
    <w:lvl w:ilvl="6" w:tplc="F372E00A" w:tentative="1">
      <w:start w:val="1"/>
      <w:numFmt w:val="bullet"/>
      <w:lvlText w:val="›"/>
      <w:lvlJc w:val="left"/>
      <w:pPr>
        <w:tabs>
          <w:tab w:val="num" w:pos="5040"/>
        </w:tabs>
        <w:ind w:left="5040" w:hanging="360"/>
      </w:pPr>
      <w:rPr>
        <w:rFonts w:ascii="Arial" w:hAnsi="Arial" w:hint="default"/>
      </w:rPr>
    </w:lvl>
    <w:lvl w:ilvl="7" w:tplc="5C58FFFA" w:tentative="1">
      <w:start w:val="1"/>
      <w:numFmt w:val="bullet"/>
      <w:lvlText w:val="›"/>
      <w:lvlJc w:val="left"/>
      <w:pPr>
        <w:tabs>
          <w:tab w:val="num" w:pos="5760"/>
        </w:tabs>
        <w:ind w:left="5760" w:hanging="360"/>
      </w:pPr>
      <w:rPr>
        <w:rFonts w:ascii="Arial" w:hAnsi="Arial" w:hint="default"/>
      </w:rPr>
    </w:lvl>
    <w:lvl w:ilvl="8" w:tplc="C5A842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813D33"/>
    <w:multiLevelType w:val="hybridMultilevel"/>
    <w:tmpl w:val="0A66440C"/>
    <w:lvl w:ilvl="0" w:tplc="ECF28034">
      <w:start w:val="1"/>
      <w:numFmt w:val="bullet"/>
      <w:lvlText w:val="–"/>
      <w:lvlJc w:val="left"/>
      <w:pPr>
        <w:tabs>
          <w:tab w:val="num" w:pos="720"/>
        </w:tabs>
        <w:ind w:left="720" w:hanging="360"/>
      </w:pPr>
      <w:rPr>
        <w:rFonts w:ascii="Ericsson Capital TT" w:hAnsi="Ericsson Capital TT" w:hint="default"/>
      </w:rPr>
    </w:lvl>
    <w:lvl w:ilvl="1" w:tplc="C264300C">
      <w:start w:val="1"/>
      <w:numFmt w:val="bullet"/>
      <w:lvlText w:val="–"/>
      <w:lvlJc w:val="left"/>
      <w:pPr>
        <w:tabs>
          <w:tab w:val="num" w:pos="1440"/>
        </w:tabs>
        <w:ind w:left="1440" w:hanging="360"/>
      </w:pPr>
      <w:rPr>
        <w:rFonts w:ascii="Ericsson Capital TT" w:hAnsi="Ericsson Capital TT" w:hint="default"/>
      </w:rPr>
    </w:lvl>
    <w:lvl w:ilvl="2" w:tplc="B34C0EE4">
      <w:numFmt w:val="bullet"/>
      <w:lvlText w:val="›"/>
      <w:lvlJc w:val="left"/>
      <w:pPr>
        <w:tabs>
          <w:tab w:val="num" w:pos="2160"/>
        </w:tabs>
        <w:ind w:left="2160" w:hanging="360"/>
      </w:pPr>
      <w:rPr>
        <w:rFonts w:ascii="Ericsson Capital TT" w:hAnsi="Ericsson Capital TT" w:hint="default"/>
      </w:rPr>
    </w:lvl>
    <w:lvl w:ilvl="3" w:tplc="91B6833C" w:tentative="1">
      <w:start w:val="1"/>
      <w:numFmt w:val="bullet"/>
      <w:lvlText w:val="–"/>
      <w:lvlJc w:val="left"/>
      <w:pPr>
        <w:tabs>
          <w:tab w:val="num" w:pos="2880"/>
        </w:tabs>
        <w:ind w:left="2880" w:hanging="360"/>
      </w:pPr>
      <w:rPr>
        <w:rFonts w:ascii="Ericsson Capital TT" w:hAnsi="Ericsson Capital TT" w:hint="default"/>
      </w:rPr>
    </w:lvl>
    <w:lvl w:ilvl="4" w:tplc="0E1822D2" w:tentative="1">
      <w:start w:val="1"/>
      <w:numFmt w:val="bullet"/>
      <w:lvlText w:val="–"/>
      <w:lvlJc w:val="left"/>
      <w:pPr>
        <w:tabs>
          <w:tab w:val="num" w:pos="3600"/>
        </w:tabs>
        <w:ind w:left="3600" w:hanging="360"/>
      </w:pPr>
      <w:rPr>
        <w:rFonts w:ascii="Ericsson Capital TT" w:hAnsi="Ericsson Capital TT" w:hint="default"/>
      </w:rPr>
    </w:lvl>
    <w:lvl w:ilvl="5" w:tplc="3CBE9302" w:tentative="1">
      <w:start w:val="1"/>
      <w:numFmt w:val="bullet"/>
      <w:lvlText w:val="–"/>
      <w:lvlJc w:val="left"/>
      <w:pPr>
        <w:tabs>
          <w:tab w:val="num" w:pos="4320"/>
        </w:tabs>
        <w:ind w:left="4320" w:hanging="360"/>
      </w:pPr>
      <w:rPr>
        <w:rFonts w:ascii="Ericsson Capital TT" w:hAnsi="Ericsson Capital TT" w:hint="default"/>
      </w:rPr>
    </w:lvl>
    <w:lvl w:ilvl="6" w:tplc="1E12DD96" w:tentative="1">
      <w:start w:val="1"/>
      <w:numFmt w:val="bullet"/>
      <w:lvlText w:val="–"/>
      <w:lvlJc w:val="left"/>
      <w:pPr>
        <w:tabs>
          <w:tab w:val="num" w:pos="5040"/>
        </w:tabs>
        <w:ind w:left="5040" w:hanging="360"/>
      </w:pPr>
      <w:rPr>
        <w:rFonts w:ascii="Ericsson Capital TT" w:hAnsi="Ericsson Capital TT" w:hint="default"/>
      </w:rPr>
    </w:lvl>
    <w:lvl w:ilvl="7" w:tplc="835E0E2C" w:tentative="1">
      <w:start w:val="1"/>
      <w:numFmt w:val="bullet"/>
      <w:lvlText w:val="–"/>
      <w:lvlJc w:val="left"/>
      <w:pPr>
        <w:tabs>
          <w:tab w:val="num" w:pos="5760"/>
        </w:tabs>
        <w:ind w:left="5760" w:hanging="360"/>
      </w:pPr>
      <w:rPr>
        <w:rFonts w:ascii="Ericsson Capital TT" w:hAnsi="Ericsson Capital TT" w:hint="default"/>
      </w:rPr>
    </w:lvl>
    <w:lvl w:ilvl="8" w:tplc="1B56FBA6"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F610B"/>
    <w:multiLevelType w:val="hybridMultilevel"/>
    <w:tmpl w:val="4E2C5204"/>
    <w:lvl w:ilvl="0" w:tplc="C1A8F012">
      <w:start w:val="1"/>
      <w:numFmt w:val="bullet"/>
      <w:lvlText w:val="–"/>
      <w:lvlJc w:val="left"/>
      <w:pPr>
        <w:tabs>
          <w:tab w:val="num" w:pos="720"/>
        </w:tabs>
        <w:ind w:left="720" w:hanging="360"/>
      </w:pPr>
      <w:rPr>
        <w:rFonts w:ascii="Ericsson Capital TT" w:hAnsi="Ericsson Capital TT" w:hint="default"/>
      </w:rPr>
    </w:lvl>
    <w:lvl w:ilvl="1" w:tplc="905E0E10">
      <w:start w:val="1"/>
      <w:numFmt w:val="bullet"/>
      <w:lvlText w:val="–"/>
      <w:lvlJc w:val="left"/>
      <w:pPr>
        <w:tabs>
          <w:tab w:val="num" w:pos="1440"/>
        </w:tabs>
        <w:ind w:left="1440" w:hanging="360"/>
      </w:pPr>
      <w:rPr>
        <w:rFonts w:ascii="Ericsson Capital TT" w:hAnsi="Ericsson Capital TT" w:hint="default"/>
      </w:rPr>
    </w:lvl>
    <w:lvl w:ilvl="2" w:tplc="F8D6F6C8">
      <w:numFmt w:val="bullet"/>
      <w:lvlText w:val="›"/>
      <w:lvlJc w:val="left"/>
      <w:pPr>
        <w:tabs>
          <w:tab w:val="num" w:pos="2160"/>
        </w:tabs>
        <w:ind w:left="2160" w:hanging="360"/>
      </w:pPr>
      <w:rPr>
        <w:rFonts w:ascii="Ericsson Capital TT" w:hAnsi="Ericsson Capital TT" w:hint="default"/>
      </w:rPr>
    </w:lvl>
    <w:lvl w:ilvl="3" w:tplc="005C3B98">
      <w:numFmt w:val="bullet"/>
      <w:lvlText w:val="-"/>
      <w:lvlJc w:val="left"/>
      <w:pPr>
        <w:tabs>
          <w:tab w:val="num" w:pos="2880"/>
        </w:tabs>
        <w:ind w:left="2880" w:hanging="360"/>
      </w:pPr>
      <w:rPr>
        <w:rFonts w:ascii="Ericsson Capital TT" w:hAnsi="Ericsson Capital TT" w:hint="default"/>
      </w:rPr>
    </w:lvl>
    <w:lvl w:ilvl="4" w:tplc="C9125514" w:tentative="1">
      <w:start w:val="1"/>
      <w:numFmt w:val="bullet"/>
      <w:lvlText w:val="–"/>
      <w:lvlJc w:val="left"/>
      <w:pPr>
        <w:tabs>
          <w:tab w:val="num" w:pos="3600"/>
        </w:tabs>
        <w:ind w:left="3600" w:hanging="360"/>
      </w:pPr>
      <w:rPr>
        <w:rFonts w:ascii="Ericsson Capital TT" w:hAnsi="Ericsson Capital TT" w:hint="default"/>
      </w:rPr>
    </w:lvl>
    <w:lvl w:ilvl="5" w:tplc="5F4E932C" w:tentative="1">
      <w:start w:val="1"/>
      <w:numFmt w:val="bullet"/>
      <w:lvlText w:val="–"/>
      <w:lvlJc w:val="left"/>
      <w:pPr>
        <w:tabs>
          <w:tab w:val="num" w:pos="4320"/>
        </w:tabs>
        <w:ind w:left="4320" w:hanging="360"/>
      </w:pPr>
      <w:rPr>
        <w:rFonts w:ascii="Ericsson Capital TT" w:hAnsi="Ericsson Capital TT" w:hint="default"/>
      </w:rPr>
    </w:lvl>
    <w:lvl w:ilvl="6" w:tplc="8DD22894" w:tentative="1">
      <w:start w:val="1"/>
      <w:numFmt w:val="bullet"/>
      <w:lvlText w:val="–"/>
      <w:lvlJc w:val="left"/>
      <w:pPr>
        <w:tabs>
          <w:tab w:val="num" w:pos="5040"/>
        </w:tabs>
        <w:ind w:left="5040" w:hanging="360"/>
      </w:pPr>
      <w:rPr>
        <w:rFonts w:ascii="Ericsson Capital TT" w:hAnsi="Ericsson Capital TT" w:hint="default"/>
      </w:rPr>
    </w:lvl>
    <w:lvl w:ilvl="7" w:tplc="0BD41BCA" w:tentative="1">
      <w:start w:val="1"/>
      <w:numFmt w:val="bullet"/>
      <w:lvlText w:val="–"/>
      <w:lvlJc w:val="left"/>
      <w:pPr>
        <w:tabs>
          <w:tab w:val="num" w:pos="5760"/>
        </w:tabs>
        <w:ind w:left="5760" w:hanging="360"/>
      </w:pPr>
      <w:rPr>
        <w:rFonts w:ascii="Ericsson Capital TT" w:hAnsi="Ericsson Capital TT" w:hint="default"/>
      </w:rPr>
    </w:lvl>
    <w:lvl w:ilvl="8" w:tplc="7EEA7804" w:tentative="1">
      <w:start w:val="1"/>
      <w:numFmt w:val="bullet"/>
      <w:lvlText w:val="–"/>
      <w:lvlJc w:val="left"/>
      <w:pPr>
        <w:tabs>
          <w:tab w:val="num" w:pos="6480"/>
        </w:tabs>
        <w:ind w:left="6480" w:hanging="360"/>
      </w:pPr>
      <w:rPr>
        <w:rFonts w:ascii="Ericsson Capital TT" w:hAnsi="Ericsson Capital TT" w:hint="default"/>
      </w:rPr>
    </w:lvl>
  </w:abstractNum>
  <w:abstractNum w:abstractNumId="35" w15:restartNumberingAfterBreak="0">
    <w:nsid w:val="694A0CD4"/>
    <w:multiLevelType w:val="hybridMultilevel"/>
    <w:tmpl w:val="AD065E0C"/>
    <w:lvl w:ilvl="0" w:tplc="46989868">
      <w:start w:val="1"/>
      <w:numFmt w:val="bullet"/>
      <w:lvlText w:val="›"/>
      <w:lvlJc w:val="left"/>
      <w:pPr>
        <w:tabs>
          <w:tab w:val="num" w:pos="720"/>
        </w:tabs>
        <w:ind w:left="720" w:hanging="360"/>
      </w:pPr>
      <w:rPr>
        <w:rFonts w:ascii="Arial" w:hAnsi="Arial" w:hint="default"/>
      </w:rPr>
    </w:lvl>
    <w:lvl w:ilvl="1" w:tplc="685AAB6A">
      <w:numFmt w:val="bullet"/>
      <w:lvlText w:val="–"/>
      <w:lvlJc w:val="left"/>
      <w:pPr>
        <w:tabs>
          <w:tab w:val="num" w:pos="1440"/>
        </w:tabs>
        <w:ind w:left="1440" w:hanging="360"/>
      </w:pPr>
      <w:rPr>
        <w:rFonts w:ascii="Ericsson Capital TT" w:hAnsi="Ericsson Capital TT" w:hint="default"/>
      </w:rPr>
    </w:lvl>
    <w:lvl w:ilvl="2" w:tplc="7862CD3E" w:tentative="1">
      <w:start w:val="1"/>
      <w:numFmt w:val="bullet"/>
      <w:lvlText w:val="›"/>
      <w:lvlJc w:val="left"/>
      <w:pPr>
        <w:tabs>
          <w:tab w:val="num" w:pos="2160"/>
        </w:tabs>
        <w:ind w:left="2160" w:hanging="360"/>
      </w:pPr>
      <w:rPr>
        <w:rFonts w:ascii="Arial" w:hAnsi="Arial" w:hint="default"/>
      </w:rPr>
    </w:lvl>
    <w:lvl w:ilvl="3" w:tplc="4424A1E4" w:tentative="1">
      <w:start w:val="1"/>
      <w:numFmt w:val="bullet"/>
      <w:lvlText w:val="›"/>
      <w:lvlJc w:val="left"/>
      <w:pPr>
        <w:tabs>
          <w:tab w:val="num" w:pos="2880"/>
        </w:tabs>
        <w:ind w:left="2880" w:hanging="360"/>
      </w:pPr>
      <w:rPr>
        <w:rFonts w:ascii="Arial" w:hAnsi="Arial" w:hint="default"/>
      </w:rPr>
    </w:lvl>
    <w:lvl w:ilvl="4" w:tplc="4442F07A" w:tentative="1">
      <w:start w:val="1"/>
      <w:numFmt w:val="bullet"/>
      <w:lvlText w:val="›"/>
      <w:lvlJc w:val="left"/>
      <w:pPr>
        <w:tabs>
          <w:tab w:val="num" w:pos="3600"/>
        </w:tabs>
        <w:ind w:left="3600" w:hanging="360"/>
      </w:pPr>
      <w:rPr>
        <w:rFonts w:ascii="Arial" w:hAnsi="Arial" w:hint="default"/>
      </w:rPr>
    </w:lvl>
    <w:lvl w:ilvl="5" w:tplc="2B4418C2" w:tentative="1">
      <w:start w:val="1"/>
      <w:numFmt w:val="bullet"/>
      <w:lvlText w:val="›"/>
      <w:lvlJc w:val="left"/>
      <w:pPr>
        <w:tabs>
          <w:tab w:val="num" w:pos="4320"/>
        </w:tabs>
        <w:ind w:left="4320" w:hanging="360"/>
      </w:pPr>
      <w:rPr>
        <w:rFonts w:ascii="Arial" w:hAnsi="Arial" w:hint="default"/>
      </w:rPr>
    </w:lvl>
    <w:lvl w:ilvl="6" w:tplc="1FCC1668" w:tentative="1">
      <w:start w:val="1"/>
      <w:numFmt w:val="bullet"/>
      <w:lvlText w:val="›"/>
      <w:lvlJc w:val="left"/>
      <w:pPr>
        <w:tabs>
          <w:tab w:val="num" w:pos="5040"/>
        </w:tabs>
        <w:ind w:left="5040" w:hanging="360"/>
      </w:pPr>
      <w:rPr>
        <w:rFonts w:ascii="Arial" w:hAnsi="Arial" w:hint="default"/>
      </w:rPr>
    </w:lvl>
    <w:lvl w:ilvl="7" w:tplc="E93A16C0" w:tentative="1">
      <w:start w:val="1"/>
      <w:numFmt w:val="bullet"/>
      <w:lvlText w:val="›"/>
      <w:lvlJc w:val="left"/>
      <w:pPr>
        <w:tabs>
          <w:tab w:val="num" w:pos="5760"/>
        </w:tabs>
        <w:ind w:left="5760" w:hanging="360"/>
      </w:pPr>
      <w:rPr>
        <w:rFonts w:ascii="Arial" w:hAnsi="Arial" w:hint="default"/>
      </w:rPr>
    </w:lvl>
    <w:lvl w:ilvl="8" w:tplc="2DCEA6A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F1137E"/>
    <w:multiLevelType w:val="hybridMultilevel"/>
    <w:tmpl w:val="084C9360"/>
    <w:lvl w:ilvl="0" w:tplc="2E54B9D4">
      <w:start w:val="1"/>
      <w:numFmt w:val="bullet"/>
      <w:lvlText w:val="›"/>
      <w:lvlJc w:val="left"/>
      <w:pPr>
        <w:tabs>
          <w:tab w:val="num" w:pos="720"/>
        </w:tabs>
        <w:ind w:left="720" w:hanging="360"/>
      </w:pPr>
      <w:rPr>
        <w:rFonts w:ascii="Arial" w:hAnsi="Arial" w:hint="default"/>
      </w:rPr>
    </w:lvl>
    <w:lvl w:ilvl="1" w:tplc="6CC41F24" w:tentative="1">
      <w:start w:val="1"/>
      <w:numFmt w:val="bullet"/>
      <w:lvlText w:val="›"/>
      <w:lvlJc w:val="left"/>
      <w:pPr>
        <w:tabs>
          <w:tab w:val="num" w:pos="1440"/>
        </w:tabs>
        <w:ind w:left="1440" w:hanging="360"/>
      </w:pPr>
      <w:rPr>
        <w:rFonts w:ascii="Arial" w:hAnsi="Arial" w:hint="default"/>
      </w:rPr>
    </w:lvl>
    <w:lvl w:ilvl="2" w:tplc="017C6988" w:tentative="1">
      <w:start w:val="1"/>
      <w:numFmt w:val="bullet"/>
      <w:lvlText w:val="›"/>
      <w:lvlJc w:val="left"/>
      <w:pPr>
        <w:tabs>
          <w:tab w:val="num" w:pos="2160"/>
        </w:tabs>
        <w:ind w:left="2160" w:hanging="360"/>
      </w:pPr>
      <w:rPr>
        <w:rFonts w:ascii="Arial" w:hAnsi="Arial" w:hint="default"/>
      </w:rPr>
    </w:lvl>
    <w:lvl w:ilvl="3" w:tplc="EC006A22">
      <w:start w:val="1"/>
      <w:numFmt w:val="bullet"/>
      <w:lvlText w:val="›"/>
      <w:lvlJc w:val="left"/>
      <w:pPr>
        <w:tabs>
          <w:tab w:val="num" w:pos="2880"/>
        </w:tabs>
        <w:ind w:left="2880" w:hanging="360"/>
      </w:pPr>
      <w:rPr>
        <w:rFonts w:ascii="Arial" w:hAnsi="Arial" w:hint="default"/>
      </w:rPr>
    </w:lvl>
    <w:lvl w:ilvl="4" w:tplc="00F28E8A">
      <w:numFmt w:val="bullet"/>
      <w:lvlText w:val="›"/>
      <w:lvlJc w:val="left"/>
      <w:pPr>
        <w:tabs>
          <w:tab w:val="num" w:pos="3600"/>
        </w:tabs>
        <w:ind w:left="3600" w:hanging="360"/>
      </w:pPr>
      <w:rPr>
        <w:rFonts w:ascii="Arial" w:hAnsi="Arial" w:hint="default"/>
      </w:rPr>
    </w:lvl>
    <w:lvl w:ilvl="5" w:tplc="D250E22C" w:tentative="1">
      <w:start w:val="1"/>
      <w:numFmt w:val="bullet"/>
      <w:lvlText w:val="›"/>
      <w:lvlJc w:val="left"/>
      <w:pPr>
        <w:tabs>
          <w:tab w:val="num" w:pos="4320"/>
        </w:tabs>
        <w:ind w:left="4320" w:hanging="360"/>
      </w:pPr>
      <w:rPr>
        <w:rFonts w:ascii="Arial" w:hAnsi="Arial" w:hint="default"/>
      </w:rPr>
    </w:lvl>
    <w:lvl w:ilvl="6" w:tplc="5C3E4180" w:tentative="1">
      <w:start w:val="1"/>
      <w:numFmt w:val="bullet"/>
      <w:lvlText w:val="›"/>
      <w:lvlJc w:val="left"/>
      <w:pPr>
        <w:tabs>
          <w:tab w:val="num" w:pos="5040"/>
        </w:tabs>
        <w:ind w:left="5040" w:hanging="360"/>
      </w:pPr>
      <w:rPr>
        <w:rFonts w:ascii="Arial" w:hAnsi="Arial" w:hint="default"/>
      </w:rPr>
    </w:lvl>
    <w:lvl w:ilvl="7" w:tplc="39A86F7C" w:tentative="1">
      <w:start w:val="1"/>
      <w:numFmt w:val="bullet"/>
      <w:lvlText w:val="›"/>
      <w:lvlJc w:val="left"/>
      <w:pPr>
        <w:tabs>
          <w:tab w:val="num" w:pos="5760"/>
        </w:tabs>
        <w:ind w:left="5760" w:hanging="360"/>
      </w:pPr>
      <w:rPr>
        <w:rFonts w:ascii="Arial" w:hAnsi="Arial" w:hint="default"/>
      </w:rPr>
    </w:lvl>
    <w:lvl w:ilvl="8" w:tplc="7E889E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EE146C"/>
    <w:multiLevelType w:val="hybridMultilevel"/>
    <w:tmpl w:val="57E0AE7E"/>
    <w:lvl w:ilvl="0" w:tplc="B726D100">
      <w:start w:val="1"/>
      <w:numFmt w:val="bullet"/>
      <w:lvlText w:val="–"/>
      <w:lvlJc w:val="left"/>
      <w:pPr>
        <w:tabs>
          <w:tab w:val="num" w:pos="720"/>
        </w:tabs>
        <w:ind w:left="720" w:hanging="360"/>
      </w:pPr>
      <w:rPr>
        <w:rFonts w:ascii="Ericsson Capital TT" w:hAnsi="Ericsson Capital TT" w:hint="default"/>
      </w:rPr>
    </w:lvl>
    <w:lvl w:ilvl="1" w:tplc="9DCAD158">
      <w:start w:val="1"/>
      <w:numFmt w:val="bullet"/>
      <w:lvlText w:val="–"/>
      <w:lvlJc w:val="left"/>
      <w:pPr>
        <w:tabs>
          <w:tab w:val="num" w:pos="1440"/>
        </w:tabs>
        <w:ind w:left="1440" w:hanging="360"/>
      </w:pPr>
      <w:rPr>
        <w:rFonts w:ascii="Ericsson Capital TT" w:hAnsi="Ericsson Capital TT" w:hint="default"/>
      </w:rPr>
    </w:lvl>
    <w:lvl w:ilvl="2" w:tplc="9488C8B2">
      <w:numFmt w:val="bullet"/>
      <w:lvlText w:val="›"/>
      <w:lvlJc w:val="left"/>
      <w:pPr>
        <w:tabs>
          <w:tab w:val="num" w:pos="2160"/>
        </w:tabs>
        <w:ind w:left="2160" w:hanging="360"/>
      </w:pPr>
      <w:rPr>
        <w:rFonts w:ascii="Ericsson Capital TT" w:hAnsi="Ericsson Capital TT" w:hint="default"/>
      </w:rPr>
    </w:lvl>
    <w:lvl w:ilvl="3" w:tplc="C782518C" w:tentative="1">
      <w:start w:val="1"/>
      <w:numFmt w:val="bullet"/>
      <w:lvlText w:val="–"/>
      <w:lvlJc w:val="left"/>
      <w:pPr>
        <w:tabs>
          <w:tab w:val="num" w:pos="2880"/>
        </w:tabs>
        <w:ind w:left="2880" w:hanging="360"/>
      </w:pPr>
      <w:rPr>
        <w:rFonts w:ascii="Ericsson Capital TT" w:hAnsi="Ericsson Capital TT" w:hint="default"/>
      </w:rPr>
    </w:lvl>
    <w:lvl w:ilvl="4" w:tplc="CA9EBE6C" w:tentative="1">
      <w:start w:val="1"/>
      <w:numFmt w:val="bullet"/>
      <w:lvlText w:val="–"/>
      <w:lvlJc w:val="left"/>
      <w:pPr>
        <w:tabs>
          <w:tab w:val="num" w:pos="3600"/>
        </w:tabs>
        <w:ind w:left="3600" w:hanging="360"/>
      </w:pPr>
      <w:rPr>
        <w:rFonts w:ascii="Ericsson Capital TT" w:hAnsi="Ericsson Capital TT" w:hint="default"/>
      </w:rPr>
    </w:lvl>
    <w:lvl w:ilvl="5" w:tplc="D3283772" w:tentative="1">
      <w:start w:val="1"/>
      <w:numFmt w:val="bullet"/>
      <w:lvlText w:val="–"/>
      <w:lvlJc w:val="left"/>
      <w:pPr>
        <w:tabs>
          <w:tab w:val="num" w:pos="4320"/>
        </w:tabs>
        <w:ind w:left="4320" w:hanging="360"/>
      </w:pPr>
      <w:rPr>
        <w:rFonts w:ascii="Ericsson Capital TT" w:hAnsi="Ericsson Capital TT" w:hint="default"/>
      </w:rPr>
    </w:lvl>
    <w:lvl w:ilvl="6" w:tplc="838E5EEE" w:tentative="1">
      <w:start w:val="1"/>
      <w:numFmt w:val="bullet"/>
      <w:lvlText w:val="–"/>
      <w:lvlJc w:val="left"/>
      <w:pPr>
        <w:tabs>
          <w:tab w:val="num" w:pos="5040"/>
        </w:tabs>
        <w:ind w:left="5040" w:hanging="360"/>
      </w:pPr>
      <w:rPr>
        <w:rFonts w:ascii="Ericsson Capital TT" w:hAnsi="Ericsson Capital TT" w:hint="default"/>
      </w:rPr>
    </w:lvl>
    <w:lvl w:ilvl="7" w:tplc="2C401692" w:tentative="1">
      <w:start w:val="1"/>
      <w:numFmt w:val="bullet"/>
      <w:lvlText w:val="–"/>
      <w:lvlJc w:val="left"/>
      <w:pPr>
        <w:tabs>
          <w:tab w:val="num" w:pos="5760"/>
        </w:tabs>
        <w:ind w:left="5760" w:hanging="360"/>
      </w:pPr>
      <w:rPr>
        <w:rFonts w:ascii="Ericsson Capital TT" w:hAnsi="Ericsson Capital TT" w:hint="default"/>
      </w:rPr>
    </w:lvl>
    <w:lvl w:ilvl="8" w:tplc="22848DB2" w:tentative="1">
      <w:start w:val="1"/>
      <w:numFmt w:val="bullet"/>
      <w:lvlText w:val="–"/>
      <w:lvlJc w:val="left"/>
      <w:pPr>
        <w:tabs>
          <w:tab w:val="num" w:pos="6480"/>
        </w:tabs>
        <w:ind w:left="6480" w:hanging="360"/>
      </w:pPr>
      <w:rPr>
        <w:rFonts w:ascii="Ericsson Capital TT" w:hAnsi="Ericsson Capital TT" w:hint="default"/>
      </w:rPr>
    </w:lvl>
  </w:abstractNum>
  <w:num w:numId="1">
    <w:abstractNumId w:val="5"/>
  </w:num>
  <w:num w:numId="2">
    <w:abstractNumId w:val="26"/>
  </w:num>
  <w:num w:numId="3">
    <w:abstractNumId w:val="20"/>
  </w:num>
  <w:num w:numId="4">
    <w:abstractNumId w:val="22"/>
  </w:num>
  <w:num w:numId="5">
    <w:abstractNumId w:val="13"/>
  </w:num>
  <w:num w:numId="6">
    <w:abstractNumId w:val="24"/>
  </w:num>
  <w:num w:numId="7">
    <w:abstractNumId w:val="31"/>
  </w:num>
  <w:num w:numId="8">
    <w:abstractNumId w:val="14"/>
  </w:num>
  <w:num w:numId="9">
    <w:abstractNumId w:val="10"/>
  </w:num>
  <w:num w:numId="10">
    <w:abstractNumId w:val="2"/>
  </w:num>
  <w:num w:numId="11">
    <w:abstractNumId w:val="1"/>
  </w:num>
  <w:num w:numId="12">
    <w:abstractNumId w:val="0"/>
  </w:num>
  <w:num w:numId="13">
    <w:abstractNumId w:val="29"/>
  </w:num>
  <w:num w:numId="14">
    <w:abstractNumId w:val="17"/>
  </w:num>
  <w:num w:numId="15">
    <w:abstractNumId w:val="19"/>
  </w:num>
  <w:num w:numId="16">
    <w:abstractNumId w:val="30"/>
  </w:num>
  <w:num w:numId="17">
    <w:abstractNumId w:val="34"/>
  </w:num>
  <w:num w:numId="18">
    <w:abstractNumId w:val="39"/>
  </w:num>
  <w:num w:numId="19">
    <w:abstractNumId w:val="23"/>
  </w:num>
  <w:num w:numId="20">
    <w:abstractNumId w:val="32"/>
  </w:num>
  <w:num w:numId="21">
    <w:abstractNumId w:val="6"/>
  </w:num>
  <w:num w:numId="22">
    <w:abstractNumId w:val="12"/>
  </w:num>
  <w:num w:numId="23">
    <w:abstractNumId w:val="27"/>
  </w:num>
  <w:num w:numId="24">
    <w:abstractNumId w:val="15"/>
  </w:num>
  <w:num w:numId="25">
    <w:abstractNumId w:val="4"/>
  </w:num>
  <w:num w:numId="26">
    <w:abstractNumId w:val="33"/>
  </w:num>
  <w:num w:numId="27">
    <w:abstractNumId w:val="35"/>
  </w:num>
  <w:num w:numId="28">
    <w:abstractNumId w:val="3"/>
  </w:num>
  <w:num w:numId="29">
    <w:abstractNumId w:val="11"/>
  </w:num>
  <w:num w:numId="30">
    <w:abstractNumId w:val="9"/>
  </w:num>
  <w:num w:numId="31">
    <w:abstractNumId w:val="37"/>
  </w:num>
  <w:num w:numId="32">
    <w:abstractNumId w:val="7"/>
  </w:num>
  <w:num w:numId="33">
    <w:abstractNumId w:val="38"/>
  </w:num>
  <w:num w:numId="34">
    <w:abstractNumId w:val="36"/>
  </w:num>
  <w:num w:numId="35">
    <w:abstractNumId w:val="21"/>
  </w:num>
  <w:num w:numId="36">
    <w:abstractNumId w:val="28"/>
  </w:num>
  <w:num w:numId="37">
    <w:abstractNumId w:val="18"/>
  </w:num>
  <w:num w:numId="38">
    <w:abstractNumId w:val="25"/>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0A5B"/>
    <w:rsid w:val="00011B28"/>
    <w:rsid w:val="00015D15"/>
    <w:rsid w:val="00021BF6"/>
    <w:rsid w:val="0002564D"/>
    <w:rsid w:val="00025ECA"/>
    <w:rsid w:val="00030B30"/>
    <w:rsid w:val="000325B8"/>
    <w:rsid w:val="00034C15"/>
    <w:rsid w:val="00036BA1"/>
    <w:rsid w:val="00042009"/>
    <w:rsid w:val="000422E2"/>
    <w:rsid w:val="00042F22"/>
    <w:rsid w:val="000444EF"/>
    <w:rsid w:val="00052A07"/>
    <w:rsid w:val="000534E3"/>
    <w:rsid w:val="00054E81"/>
    <w:rsid w:val="0005606A"/>
    <w:rsid w:val="00057117"/>
    <w:rsid w:val="00061132"/>
    <w:rsid w:val="000616E7"/>
    <w:rsid w:val="0006487E"/>
    <w:rsid w:val="00065E1A"/>
    <w:rsid w:val="00077E5F"/>
    <w:rsid w:val="0008036A"/>
    <w:rsid w:val="00081AE6"/>
    <w:rsid w:val="0008315A"/>
    <w:rsid w:val="000855EB"/>
    <w:rsid w:val="00085B52"/>
    <w:rsid w:val="000866F2"/>
    <w:rsid w:val="0009009F"/>
    <w:rsid w:val="00091557"/>
    <w:rsid w:val="000924C1"/>
    <w:rsid w:val="000924F0"/>
    <w:rsid w:val="00093474"/>
    <w:rsid w:val="0009510F"/>
    <w:rsid w:val="00096A5A"/>
    <w:rsid w:val="000978AE"/>
    <w:rsid w:val="000A1B7B"/>
    <w:rsid w:val="000A56F2"/>
    <w:rsid w:val="000B2719"/>
    <w:rsid w:val="000B3A8F"/>
    <w:rsid w:val="000B4AB9"/>
    <w:rsid w:val="000B58C3"/>
    <w:rsid w:val="000B61E9"/>
    <w:rsid w:val="000C165A"/>
    <w:rsid w:val="000C2E19"/>
    <w:rsid w:val="000C4C24"/>
    <w:rsid w:val="000C64D4"/>
    <w:rsid w:val="000D0D07"/>
    <w:rsid w:val="000D4797"/>
    <w:rsid w:val="000D78C3"/>
    <w:rsid w:val="000E0527"/>
    <w:rsid w:val="000E1E92"/>
    <w:rsid w:val="000E1FA4"/>
    <w:rsid w:val="000F06D6"/>
    <w:rsid w:val="000F0EB1"/>
    <w:rsid w:val="000F1106"/>
    <w:rsid w:val="000F3BE9"/>
    <w:rsid w:val="000F3F6C"/>
    <w:rsid w:val="000F6DF3"/>
    <w:rsid w:val="001005FF"/>
    <w:rsid w:val="001062FB"/>
    <w:rsid w:val="001063E6"/>
    <w:rsid w:val="001108E4"/>
    <w:rsid w:val="00113CF4"/>
    <w:rsid w:val="001153EA"/>
    <w:rsid w:val="00115643"/>
    <w:rsid w:val="00116765"/>
    <w:rsid w:val="001219F5"/>
    <w:rsid w:val="00121A20"/>
    <w:rsid w:val="0012377F"/>
    <w:rsid w:val="00124314"/>
    <w:rsid w:val="00126B4A"/>
    <w:rsid w:val="00131C3F"/>
    <w:rsid w:val="00132FD0"/>
    <w:rsid w:val="001338D5"/>
    <w:rsid w:val="001344C0"/>
    <w:rsid w:val="001346FA"/>
    <w:rsid w:val="00135252"/>
    <w:rsid w:val="00137AB5"/>
    <w:rsid w:val="00137F0B"/>
    <w:rsid w:val="001411CD"/>
    <w:rsid w:val="001417C2"/>
    <w:rsid w:val="00151E23"/>
    <w:rsid w:val="001523CA"/>
    <w:rsid w:val="001526E0"/>
    <w:rsid w:val="0015373E"/>
    <w:rsid w:val="001551B5"/>
    <w:rsid w:val="001659C1"/>
    <w:rsid w:val="00173A8E"/>
    <w:rsid w:val="0018143F"/>
    <w:rsid w:val="00183126"/>
    <w:rsid w:val="00190AC1"/>
    <w:rsid w:val="0019341A"/>
    <w:rsid w:val="00197DF9"/>
    <w:rsid w:val="001A1987"/>
    <w:rsid w:val="001A2564"/>
    <w:rsid w:val="001A2648"/>
    <w:rsid w:val="001A269A"/>
    <w:rsid w:val="001A6173"/>
    <w:rsid w:val="001A6CBA"/>
    <w:rsid w:val="001B0D97"/>
    <w:rsid w:val="001B5A5D"/>
    <w:rsid w:val="001C1CE5"/>
    <w:rsid w:val="001C3D2A"/>
    <w:rsid w:val="001D47A4"/>
    <w:rsid w:val="001D51BA"/>
    <w:rsid w:val="001D6342"/>
    <w:rsid w:val="001D6D53"/>
    <w:rsid w:val="001E2560"/>
    <w:rsid w:val="001E58E2"/>
    <w:rsid w:val="001E73B8"/>
    <w:rsid w:val="001E7AED"/>
    <w:rsid w:val="001F3916"/>
    <w:rsid w:val="001F4689"/>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7880"/>
    <w:rsid w:val="00237969"/>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262"/>
    <w:rsid w:val="002C41E6"/>
    <w:rsid w:val="002D071A"/>
    <w:rsid w:val="002D34B2"/>
    <w:rsid w:val="002D7637"/>
    <w:rsid w:val="002D7C20"/>
    <w:rsid w:val="002E17F2"/>
    <w:rsid w:val="002E42D7"/>
    <w:rsid w:val="002E7CAE"/>
    <w:rsid w:val="002F2771"/>
    <w:rsid w:val="002F37A9"/>
    <w:rsid w:val="002F6288"/>
    <w:rsid w:val="002F7A79"/>
    <w:rsid w:val="00301CE6"/>
    <w:rsid w:val="0030256B"/>
    <w:rsid w:val="0030501F"/>
    <w:rsid w:val="00307BA1"/>
    <w:rsid w:val="003109FC"/>
    <w:rsid w:val="00311702"/>
    <w:rsid w:val="00311E82"/>
    <w:rsid w:val="00313FD6"/>
    <w:rsid w:val="003143BD"/>
    <w:rsid w:val="003203ED"/>
    <w:rsid w:val="00322C9F"/>
    <w:rsid w:val="00324D23"/>
    <w:rsid w:val="00327997"/>
    <w:rsid w:val="00331751"/>
    <w:rsid w:val="00331B7B"/>
    <w:rsid w:val="0033386C"/>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2427"/>
    <w:rsid w:val="00385BF0"/>
    <w:rsid w:val="003939FF"/>
    <w:rsid w:val="003A0E41"/>
    <w:rsid w:val="003A2223"/>
    <w:rsid w:val="003A2A0F"/>
    <w:rsid w:val="003A45A1"/>
    <w:rsid w:val="003A5B0A"/>
    <w:rsid w:val="003A6BAC"/>
    <w:rsid w:val="003A7EF3"/>
    <w:rsid w:val="003B159C"/>
    <w:rsid w:val="003B369F"/>
    <w:rsid w:val="003B36A3"/>
    <w:rsid w:val="003B4067"/>
    <w:rsid w:val="003B7FE5"/>
    <w:rsid w:val="003C11C8"/>
    <w:rsid w:val="003C2702"/>
    <w:rsid w:val="003C7806"/>
    <w:rsid w:val="003D109F"/>
    <w:rsid w:val="003D2478"/>
    <w:rsid w:val="003D3C45"/>
    <w:rsid w:val="003D5B1F"/>
    <w:rsid w:val="003D6A4A"/>
    <w:rsid w:val="003E1373"/>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268A"/>
    <w:rsid w:val="00413AAC"/>
    <w:rsid w:val="00413E92"/>
    <w:rsid w:val="00416CFE"/>
    <w:rsid w:val="00421105"/>
    <w:rsid w:val="00423913"/>
    <w:rsid w:val="004242F4"/>
    <w:rsid w:val="00427248"/>
    <w:rsid w:val="00430C27"/>
    <w:rsid w:val="00437447"/>
    <w:rsid w:val="00441782"/>
    <w:rsid w:val="00441A92"/>
    <w:rsid w:val="00444F56"/>
    <w:rsid w:val="00446488"/>
    <w:rsid w:val="004517AA"/>
    <w:rsid w:val="00452CAC"/>
    <w:rsid w:val="00457565"/>
    <w:rsid w:val="00457B71"/>
    <w:rsid w:val="00463354"/>
    <w:rsid w:val="00465ABC"/>
    <w:rsid w:val="004669E2"/>
    <w:rsid w:val="00470C31"/>
    <w:rsid w:val="00472DBC"/>
    <w:rsid w:val="004734D0"/>
    <w:rsid w:val="0047556B"/>
    <w:rsid w:val="00477768"/>
    <w:rsid w:val="00492BC5"/>
    <w:rsid w:val="004964F1"/>
    <w:rsid w:val="004A16BC"/>
    <w:rsid w:val="004A2B94"/>
    <w:rsid w:val="004A4D0A"/>
    <w:rsid w:val="004B7C0C"/>
    <w:rsid w:val="004C3898"/>
    <w:rsid w:val="004C667D"/>
    <w:rsid w:val="004D36B1"/>
    <w:rsid w:val="004D7EBD"/>
    <w:rsid w:val="004E2680"/>
    <w:rsid w:val="004E28F9"/>
    <w:rsid w:val="004E462E"/>
    <w:rsid w:val="004E56DC"/>
    <w:rsid w:val="004E6452"/>
    <w:rsid w:val="004E76F4"/>
    <w:rsid w:val="004F0B4E"/>
    <w:rsid w:val="004F0B6C"/>
    <w:rsid w:val="004F2078"/>
    <w:rsid w:val="004F3C3A"/>
    <w:rsid w:val="004F4DA3"/>
    <w:rsid w:val="00506557"/>
    <w:rsid w:val="0050677A"/>
    <w:rsid w:val="005108D8"/>
    <w:rsid w:val="005116F9"/>
    <w:rsid w:val="005153A7"/>
    <w:rsid w:val="005219CF"/>
    <w:rsid w:val="00534B59"/>
    <w:rsid w:val="00534D9B"/>
    <w:rsid w:val="00536759"/>
    <w:rsid w:val="00537C62"/>
    <w:rsid w:val="00546970"/>
    <w:rsid w:val="00554192"/>
    <w:rsid w:val="00554E19"/>
    <w:rsid w:val="0056121F"/>
    <w:rsid w:val="00572505"/>
    <w:rsid w:val="00575DA6"/>
    <w:rsid w:val="00577A68"/>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B7F75"/>
    <w:rsid w:val="005C536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B7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8B1"/>
    <w:rsid w:val="006627A2"/>
    <w:rsid w:val="006634E6"/>
    <w:rsid w:val="006655EE"/>
    <w:rsid w:val="00667EE7"/>
    <w:rsid w:val="00670922"/>
    <w:rsid w:val="00670BE1"/>
    <w:rsid w:val="0067218F"/>
    <w:rsid w:val="006741F2"/>
    <w:rsid w:val="00674CC3"/>
    <w:rsid w:val="00675C72"/>
    <w:rsid w:val="00676318"/>
    <w:rsid w:val="006771F9"/>
    <w:rsid w:val="006776D7"/>
    <w:rsid w:val="00681003"/>
    <w:rsid w:val="006817C9"/>
    <w:rsid w:val="00683ECE"/>
    <w:rsid w:val="00685A77"/>
    <w:rsid w:val="00695FC2"/>
    <w:rsid w:val="00696949"/>
    <w:rsid w:val="00697052"/>
    <w:rsid w:val="006A1B4C"/>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97B"/>
    <w:rsid w:val="00707D61"/>
    <w:rsid w:val="007111E0"/>
    <w:rsid w:val="00712287"/>
    <w:rsid w:val="00712772"/>
    <w:rsid w:val="007148D3"/>
    <w:rsid w:val="00715B9A"/>
    <w:rsid w:val="00715EDD"/>
    <w:rsid w:val="00726EA6"/>
    <w:rsid w:val="00727208"/>
    <w:rsid w:val="00727680"/>
    <w:rsid w:val="007348B1"/>
    <w:rsid w:val="007362A6"/>
    <w:rsid w:val="00736D7D"/>
    <w:rsid w:val="00737FB0"/>
    <w:rsid w:val="00740E58"/>
    <w:rsid w:val="007445A0"/>
    <w:rsid w:val="0074524B"/>
    <w:rsid w:val="00747D8B"/>
    <w:rsid w:val="00750FE4"/>
    <w:rsid w:val="00751228"/>
    <w:rsid w:val="007571E1"/>
    <w:rsid w:val="007604B2"/>
    <w:rsid w:val="00765281"/>
    <w:rsid w:val="00766BAD"/>
    <w:rsid w:val="0077035A"/>
    <w:rsid w:val="00772296"/>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5FB2"/>
    <w:rsid w:val="007E7091"/>
    <w:rsid w:val="007F75D5"/>
    <w:rsid w:val="00803FAE"/>
    <w:rsid w:val="00805871"/>
    <w:rsid w:val="0080605F"/>
    <w:rsid w:val="00806EE7"/>
    <w:rsid w:val="00807786"/>
    <w:rsid w:val="00811FCB"/>
    <w:rsid w:val="008158D6"/>
    <w:rsid w:val="00817196"/>
    <w:rsid w:val="008235DB"/>
    <w:rsid w:val="00824AB4"/>
    <w:rsid w:val="00825C42"/>
    <w:rsid w:val="00825D25"/>
    <w:rsid w:val="00827D6F"/>
    <w:rsid w:val="008376AC"/>
    <w:rsid w:val="008421B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411"/>
    <w:rsid w:val="008B51A0"/>
    <w:rsid w:val="008B592A"/>
    <w:rsid w:val="008B6055"/>
    <w:rsid w:val="008B7B5C"/>
    <w:rsid w:val="008C0C99"/>
    <w:rsid w:val="008C2017"/>
    <w:rsid w:val="008C4958"/>
    <w:rsid w:val="008C4BAA"/>
    <w:rsid w:val="008C6AE8"/>
    <w:rsid w:val="008C7573"/>
    <w:rsid w:val="008D34F1"/>
    <w:rsid w:val="008D39D8"/>
    <w:rsid w:val="008D6D1A"/>
    <w:rsid w:val="008D6D4B"/>
    <w:rsid w:val="008E065E"/>
    <w:rsid w:val="008E0927"/>
    <w:rsid w:val="008E1909"/>
    <w:rsid w:val="008F1EAB"/>
    <w:rsid w:val="008F33DC"/>
    <w:rsid w:val="008F477F"/>
    <w:rsid w:val="008F586A"/>
    <w:rsid w:val="00902350"/>
    <w:rsid w:val="0090336B"/>
    <w:rsid w:val="009053AA"/>
    <w:rsid w:val="00906939"/>
    <w:rsid w:val="00910B7D"/>
    <w:rsid w:val="00911DFB"/>
    <w:rsid w:val="009139D9"/>
    <w:rsid w:val="00914AD8"/>
    <w:rsid w:val="00916079"/>
    <w:rsid w:val="00917CE9"/>
    <w:rsid w:val="00920BDA"/>
    <w:rsid w:val="00920BF2"/>
    <w:rsid w:val="00920F06"/>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66F"/>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22D7"/>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FE1"/>
    <w:rsid w:val="009C403E"/>
    <w:rsid w:val="009C6832"/>
    <w:rsid w:val="009D4C98"/>
    <w:rsid w:val="009D4FF0"/>
    <w:rsid w:val="009D703C"/>
    <w:rsid w:val="009D718F"/>
    <w:rsid w:val="009E068F"/>
    <w:rsid w:val="009E14E0"/>
    <w:rsid w:val="009E35DB"/>
    <w:rsid w:val="009E47A3"/>
    <w:rsid w:val="009E7535"/>
    <w:rsid w:val="009F08F3"/>
    <w:rsid w:val="009F344F"/>
    <w:rsid w:val="00A031D8"/>
    <w:rsid w:val="00A048A8"/>
    <w:rsid w:val="00A04F49"/>
    <w:rsid w:val="00A066F2"/>
    <w:rsid w:val="00A13E54"/>
    <w:rsid w:val="00A15745"/>
    <w:rsid w:val="00A17F63"/>
    <w:rsid w:val="00A2193B"/>
    <w:rsid w:val="00A2351A"/>
    <w:rsid w:val="00A264A9"/>
    <w:rsid w:val="00A27785"/>
    <w:rsid w:val="00A30187"/>
    <w:rsid w:val="00A3448A"/>
    <w:rsid w:val="00A36297"/>
    <w:rsid w:val="00A41E2B"/>
    <w:rsid w:val="00A450F7"/>
    <w:rsid w:val="00A45B74"/>
    <w:rsid w:val="00A52E1D"/>
    <w:rsid w:val="00A6080B"/>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1F76"/>
    <w:rsid w:val="00AA48EA"/>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086"/>
    <w:rsid w:val="00AF1C5D"/>
    <w:rsid w:val="00AF37BB"/>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429A"/>
    <w:rsid w:val="00B45A52"/>
    <w:rsid w:val="00B46175"/>
    <w:rsid w:val="00B664C7"/>
    <w:rsid w:val="00B739F6"/>
    <w:rsid w:val="00B75A51"/>
    <w:rsid w:val="00B81A6C"/>
    <w:rsid w:val="00B85DE5"/>
    <w:rsid w:val="00B86D4F"/>
    <w:rsid w:val="00B90C9C"/>
    <w:rsid w:val="00B90F73"/>
    <w:rsid w:val="00B93B59"/>
    <w:rsid w:val="00B9406A"/>
    <w:rsid w:val="00BA2280"/>
    <w:rsid w:val="00BA2A08"/>
    <w:rsid w:val="00BA56D2"/>
    <w:rsid w:val="00BA76E0"/>
    <w:rsid w:val="00BB2A25"/>
    <w:rsid w:val="00BB51E9"/>
    <w:rsid w:val="00BB6F25"/>
    <w:rsid w:val="00BC0FDC"/>
    <w:rsid w:val="00BC3053"/>
    <w:rsid w:val="00BC4D2E"/>
    <w:rsid w:val="00BD48AC"/>
    <w:rsid w:val="00BD5F1A"/>
    <w:rsid w:val="00BD6C52"/>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81A"/>
    <w:rsid w:val="00C54995"/>
    <w:rsid w:val="00C54D41"/>
    <w:rsid w:val="00C60783"/>
    <w:rsid w:val="00C64672"/>
    <w:rsid w:val="00C70697"/>
    <w:rsid w:val="00C72EF4"/>
    <w:rsid w:val="00C75307"/>
    <w:rsid w:val="00C75D2F"/>
    <w:rsid w:val="00C767BE"/>
    <w:rsid w:val="00C76E3C"/>
    <w:rsid w:val="00C81568"/>
    <w:rsid w:val="00C84A6E"/>
    <w:rsid w:val="00C860ED"/>
    <w:rsid w:val="00C9027A"/>
    <w:rsid w:val="00C9068E"/>
    <w:rsid w:val="00C93C4B"/>
    <w:rsid w:val="00C944AB"/>
    <w:rsid w:val="00C95B40"/>
    <w:rsid w:val="00CA1068"/>
    <w:rsid w:val="00CA1ED8"/>
    <w:rsid w:val="00CA2417"/>
    <w:rsid w:val="00CB131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1E2"/>
    <w:rsid w:val="00D239A7"/>
    <w:rsid w:val="00D23F47"/>
    <w:rsid w:val="00D2636F"/>
    <w:rsid w:val="00D36E71"/>
    <w:rsid w:val="00D37D87"/>
    <w:rsid w:val="00D40B33"/>
    <w:rsid w:val="00D425C5"/>
    <w:rsid w:val="00D4318F"/>
    <w:rsid w:val="00D433B9"/>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C45"/>
    <w:rsid w:val="00DC2D36"/>
    <w:rsid w:val="00DC53EF"/>
    <w:rsid w:val="00DE5608"/>
    <w:rsid w:val="00DE58D0"/>
    <w:rsid w:val="00DE654F"/>
    <w:rsid w:val="00DF0B6E"/>
    <w:rsid w:val="00DF15E0"/>
    <w:rsid w:val="00DF37A0"/>
    <w:rsid w:val="00DF63CA"/>
    <w:rsid w:val="00E03DD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D06"/>
    <w:rsid w:val="00E446F1"/>
    <w:rsid w:val="00E46886"/>
    <w:rsid w:val="00E47AEF"/>
    <w:rsid w:val="00E53B75"/>
    <w:rsid w:val="00E54E3B"/>
    <w:rsid w:val="00E5689D"/>
    <w:rsid w:val="00E57565"/>
    <w:rsid w:val="00E63838"/>
    <w:rsid w:val="00E64434"/>
    <w:rsid w:val="00E64B80"/>
    <w:rsid w:val="00E67C51"/>
    <w:rsid w:val="00E72EFC"/>
    <w:rsid w:val="00E758EC"/>
    <w:rsid w:val="00E766CB"/>
    <w:rsid w:val="00E8234C"/>
    <w:rsid w:val="00E83AA9"/>
    <w:rsid w:val="00E85928"/>
    <w:rsid w:val="00E87822"/>
    <w:rsid w:val="00E90395"/>
    <w:rsid w:val="00E90E49"/>
    <w:rsid w:val="00E917F9"/>
    <w:rsid w:val="00E9291C"/>
    <w:rsid w:val="00E93485"/>
    <w:rsid w:val="00E93FFE"/>
    <w:rsid w:val="00E94F8A"/>
    <w:rsid w:val="00EA4B16"/>
    <w:rsid w:val="00EA7A41"/>
    <w:rsid w:val="00EB077B"/>
    <w:rsid w:val="00EB4EA2"/>
    <w:rsid w:val="00EC0959"/>
    <w:rsid w:val="00EC27C6"/>
    <w:rsid w:val="00EC4207"/>
    <w:rsid w:val="00EC5653"/>
    <w:rsid w:val="00EC71CE"/>
    <w:rsid w:val="00EC77A7"/>
    <w:rsid w:val="00ED1006"/>
    <w:rsid w:val="00EE59C8"/>
    <w:rsid w:val="00EF18FE"/>
    <w:rsid w:val="00EF5787"/>
    <w:rsid w:val="00EF60D0"/>
    <w:rsid w:val="00EF77A1"/>
    <w:rsid w:val="00F0528D"/>
    <w:rsid w:val="00F06C67"/>
    <w:rsid w:val="00F06DFD"/>
    <w:rsid w:val="00F071D1"/>
    <w:rsid w:val="00F07533"/>
    <w:rsid w:val="00F10629"/>
    <w:rsid w:val="00F15FA5"/>
    <w:rsid w:val="00F209B7"/>
    <w:rsid w:val="00F2376F"/>
    <w:rsid w:val="00F243D8"/>
    <w:rsid w:val="00F26BB4"/>
    <w:rsid w:val="00F30828"/>
    <w:rsid w:val="00F313D6"/>
    <w:rsid w:val="00F356D3"/>
    <w:rsid w:val="00F40F0C"/>
    <w:rsid w:val="00F4766C"/>
    <w:rsid w:val="00F5060E"/>
    <w:rsid w:val="00F507D1"/>
    <w:rsid w:val="00F519CE"/>
    <w:rsid w:val="00F51ADA"/>
    <w:rsid w:val="00F607C5"/>
    <w:rsid w:val="00F60DEA"/>
    <w:rsid w:val="00F62D7E"/>
    <w:rsid w:val="00F6302A"/>
    <w:rsid w:val="00F64C2B"/>
    <w:rsid w:val="00F651BE"/>
    <w:rsid w:val="00F67F53"/>
    <w:rsid w:val="00F703BE"/>
    <w:rsid w:val="00F71F69"/>
    <w:rsid w:val="00F72B72"/>
    <w:rsid w:val="00F74BB9"/>
    <w:rsid w:val="00F75582"/>
    <w:rsid w:val="00F76EFA"/>
    <w:rsid w:val="00F804BE"/>
    <w:rsid w:val="00F8177E"/>
    <w:rsid w:val="00F817CE"/>
    <w:rsid w:val="00F8456C"/>
    <w:rsid w:val="00F859D8"/>
    <w:rsid w:val="00F867C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D9B"/>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534D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D9B"/>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pPr>
  </w:style>
  <w:style w:type="paragraph" w:customStyle="1" w:styleId="B2">
    <w:name w:val="B2"/>
    <w:basedOn w:val="List2"/>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41268A"/>
    <w:rPr>
      <w:color w:val="808080"/>
    </w:rPr>
  </w:style>
  <w:style w:type="table" w:styleId="TableGrid">
    <w:name w:val="Table Grid"/>
    <w:basedOn w:val="TableNormal"/>
    <w:rsid w:val="008F5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1D47A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D47A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D47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1D47A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D47A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1D47A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character" w:customStyle="1" w:styleId="TACChar">
    <w:name w:val="TAC Char"/>
    <w:link w:val="TAC"/>
    <w:locked/>
    <w:rsid w:val="007111E0"/>
    <w:rPr>
      <w:rFonts w:ascii="Times New Roman" w:hAnsi="Times New Roman"/>
      <w:sz w:val="18"/>
      <w:lang w:val="en-GB"/>
    </w:rPr>
  </w:style>
  <w:style w:type="character" w:customStyle="1" w:styleId="THChar">
    <w:name w:val="TH Char"/>
    <w:link w:val="TH"/>
    <w:locked/>
    <w:rsid w:val="007111E0"/>
    <w:rPr>
      <w:rFonts w:ascii="Times New Roman" w:hAnsi="Times New Roman"/>
      <w:b/>
      <w:lang w:val="en-GB"/>
    </w:rPr>
  </w:style>
  <w:style w:type="character" w:customStyle="1" w:styleId="TAHCar">
    <w:name w:val="TAH Car"/>
    <w:link w:val="TAH"/>
    <w:locked/>
    <w:rsid w:val="007111E0"/>
    <w:rPr>
      <w:rFonts w:ascii="Times New Roman" w:hAnsi="Times New Roman"/>
      <w:b/>
      <w:sz w:val="18"/>
      <w:lang w:val="en-GB"/>
    </w:rPr>
  </w:style>
  <w:style w:type="paragraph" w:customStyle="1" w:styleId="IvDbodytext">
    <w:name w:val="IvD bodytext"/>
    <w:basedOn w:val="BodyText"/>
    <w:link w:val="IvDbodytextChar"/>
    <w:qFormat/>
    <w:rsid w:val="005B7F75"/>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5B7F75"/>
    <w:rPr>
      <w:rFonts w:ascii="Arial" w:hAnsi="Arial"/>
      <w:spacing w:val="2"/>
      <w:lang w:val="en-GB" w:eastAsia="zh-CN"/>
    </w:rPr>
  </w:style>
  <w:style w:type="character" w:customStyle="1" w:styleId="RAN1bullet1Char">
    <w:name w:val="RAN1 bullet1 Char"/>
    <w:link w:val="RAN1bullet1"/>
    <w:locked/>
    <w:rsid w:val="00021BF6"/>
    <w:rPr>
      <w:rFonts w:ascii="Times" w:hAnsi="Times" w:cs="Times"/>
      <w:szCs w:val="24"/>
      <w:lang w:val="en-GB" w:eastAsia="x-none"/>
    </w:rPr>
  </w:style>
  <w:style w:type="paragraph" w:customStyle="1" w:styleId="RAN1bullet1">
    <w:name w:val="RAN1 bullet1"/>
    <w:basedOn w:val="Normal"/>
    <w:link w:val="RAN1bullet1Char"/>
    <w:qFormat/>
    <w:rsid w:val="00021BF6"/>
    <w:pPr>
      <w:spacing w:after="0"/>
    </w:pPr>
    <w:rPr>
      <w:rFonts w:ascii="Times" w:hAnsi="Times" w:cs="Times"/>
      <w:szCs w:val="24"/>
      <w:lang w:eastAsia="x-none"/>
    </w:rPr>
  </w:style>
  <w:style w:type="character" w:customStyle="1" w:styleId="RAN1bullet2Char">
    <w:name w:val="RAN1 bullet2 Char"/>
    <w:link w:val="RAN1bullet2"/>
    <w:locked/>
    <w:rsid w:val="00021BF6"/>
    <w:rPr>
      <w:rFonts w:ascii="Times" w:hAnsi="Times" w:cs="Times"/>
    </w:rPr>
  </w:style>
  <w:style w:type="paragraph" w:customStyle="1" w:styleId="RAN1bullet2">
    <w:name w:val="RAN1 bullet2"/>
    <w:basedOn w:val="Normal"/>
    <w:link w:val="RAN1bullet2Char"/>
    <w:qFormat/>
    <w:rsid w:val="00021BF6"/>
    <w:pPr>
      <w:numPr>
        <w:ilvl w:val="1"/>
        <w:numId w:val="32"/>
      </w:numPr>
      <w:tabs>
        <w:tab w:val="left" w:pos="1440"/>
      </w:tabs>
      <w:spacing w:after="0"/>
    </w:pPr>
    <w:rPr>
      <w:rFonts w:ascii="Times" w:hAnsi="Times" w:cs="Times"/>
    </w:rPr>
  </w:style>
  <w:style w:type="character" w:customStyle="1" w:styleId="RAN1bullet3Char">
    <w:name w:val="RAN1 bullet3 Char"/>
    <w:link w:val="RAN1bullet3"/>
    <w:locked/>
    <w:rsid w:val="00021BF6"/>
    <w:rPr>
      <w:rFonts w:ascii="Times" w:hAnsi="Times" w:cs="Times"/>
    </w:rPr>
  </w:style>
  <w:style w:type="paragraph" w:customStyle="1" w:styleId="RAN1bullet3">
    <w:name w:val="RAN1 bullet3"/>
    <w:basedOn w:val="RAN1bullet2"/>
    <w:link w:val="RAN1bullet3Char"/>
    <w:qFormat/>
    <w:rsid w:val="00021BF6"/>
    <w:pPr>
      <w:numPr>
        <w:ilvl w:val="2"/>
        <w:numId w:val="33"/>
      </w:numPr>
    </w:pPr>
  </w:style>
  <w:style w:type="paragraph" w:customStyle="1" w:styleId="ran1bullet30">
    <w:name w:val="ran1bullet3"/>
    <w:basedOn w:val="Normal"/>
    <w:uiPriority w:val="99"/>
    <w:rsid w:val="00021BF6"/>
    <w:pPr>
      <w:spacing w:before="100" w:beforeAutospacing="1" w:after="100" w:afterAutospacing="1"/>
    </w:pPr>
    <w:rPr>
      <w:rFonts w:ascii="Gulim" w:eastAsia="Gulim" w:hAnsi="Gulim"/>
      <w:sz w:val="24"/>
      <w:szCs w:val="24"/>
    </w:rPr>
  </w:style>
  <w:style w:type="character" w:customStyle="1" w:styleId="ReferenceChar">
    <w:name w:val="Reference Char"/>
    <w:link w:val="Reference"/>
    <w:rsid w:val="00715EDD"/>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430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72079">
      <w:bodyDiv w:val="1"/>
      <w:marLeft w:val="0"/>
      <w:marRight w:val="0"/>
      <w:marTop w:val="0"/>
      <w:marBottom w:val="0"/>
      <w:divBdr>
        <w:top w:val="none" w:sz="0" w:space="0" w:color="auto"/>
        <w:left w:val="none" w:sz="0" w:space="0" w:color="auto"/>
        <w:bottom w:val="none" w:sz="0" w:space="0" w:color="auto"/>
        <w:right w:val="none" w:sz="0" w:space="0" w:color="auto"/>
      </w:divBdr>
      <w:divsChild>
        <w:div w:id="1664234103">
          <w:marLeft w:val="850"/>
          <w:marRight w:val="0"/>
          <w:marTop w:val="0"/>
          <w:marBottom w:val="120"/>
          <w:divBdr>
            <w:top w:val="none" w:sz="0" w:space="0" w:color="auto"/>
            <w:left w:val="none" w:sz="0" w:space="0" w:color="auto"/>
            <w:bottom w:val="none" w:sz="0" w:space="0" w:color="auto"/>
            <w:right w:val="none" w:sz="0" w:space="0" w:color="auto"/>
          </w:divBdr>
        </w:div>
        <w:div w:id="1302226801">
          <w:marLeft w:val="1411"/>
          <w:marRight w:val="0"/>
          <w:marTop w:val="0"/>
          <w:marBottom w:val="120"/>
          <w:divBdr>
            <w:top w:val="none" w:sz="0" w:space="0" w:color="auto"/>
            <w:left w:val="none" w:sz="0" w:space="0" w:color="auto"/>
            <w:bottom w:val="none" w:sz="0" w:space="0" w:color="auto"/>
            <w:right w:val="none" w:sz="0" w:space="0" w:color="auto"/>
          </w:divBdr>
        </w:div>
        <w:div w:id="1859998800">
          <w:marLeft w:val="1411"/>
          <w:marRight w:val="0"/>
          <w:marTop w:val="0"/>
          <w:marBottom w:val="120"/>
          <w:divBdr>
            <w:top w:val="none" w:sz="0" w:space="0" w:color="auto"/>
            <w:left w:val="none" w:sz="0" w:space="0" w:color="auto"/>
            <w:bottom w:val="none" w:sz="0" w:space="0" w:color="auto"/>
            <w:right w:val="none" w:sz="0" w:space="0" w:color="auto"/>
          </w:divBdr>
        </w:div>
        <w:div w:id="433477418">
          <w:marLeft w:val="850"/>
          <w:marRight w:val="0"/>
          <w:marTop w:val="0"/>
          <w:marBottom w:val="120"/>
          <w:divBdr>
            <w:top w:val="none" w:sz="0" w:space="0" w:color="auto"/>
            <w:left w:val="none" w:sz="0" w:space="0" w:color="auto"/>
            <w:bottom w:val="none" w:sz="0" w:space="0" w:color="auto"/>
            <w:right w:val="none" w:sz="0" w:space="0" w:color="auto"/>
          </w:divBdr>
        </w:div>
      </w:divsChild>
    </w:div>
    <w:div w:id="274797621">
      <w:bodyDiv w:val="1"/>
      <w:marLeft w:val="0"/>
      <w:marRight w:val="0"/>
      <w:marTop w:val="0"/>
      <w:marBottom w:val="0"/>
      <w:divBdr>
        <w:top w:val="none" w:sz="0" w:space="0" w:color="auto"/>
        <w:left w:val="none" w:sz="0" w:space="0" w:color="auto"/>
        <w:bottom w:val="none" w:sz="0" w:space="0" w:color="auto"/>
        <w:right w:val="none" w:sz="0" w:space="0" w:color="auto"/>
      </w:divBdr>
      <w:divsChild>
        <w:div w:id="2078474725">
          <w:marLeft w:val="835"/>
          <w:marRight w:val="0"/>
          <w:marTop w:val="67"/>
          <w:marBottom w:val="0"/>
          <w:divBdr>
            <w:top w:val="none" w:sz="0" w:space="0" w:color="auto"/>
            <w:left w:val="none" w:sz="0" w:space="0" w:color="auto"/>
            <w:bottom w:val="none" w:sz="0" w:space="0" w:color="auto"/>
            <w:right w:val="none" w:sz="0" w:space="0" w:color="auto"/>
          </w:divBdr>
        </w:div>
        <w:div w:id="1325429009">
          <w:marLeft w:val="1411"/>
          <w:marRight w:val="0"/>
          <w:marTop w:val="67"/>
          <w:marBottom w:val="0"/>
          <w:divBdr>
            <w:top w:val="none" w:sz="0" w:space="0" w:color="auto"/>
            <w:left w:val="none" w:sz="0" w:space="0" w:color="auto"/>
            <w:bottom w:val="none" w:sz="0" w:space="0" w:color="auto"/>
            <w:right w:val="none" w:sz="0" w:space="0" w:color="auto"/>
          </w:divBdr>
        </w:div>
        <w:div w:id="544872914">
          <w:marLeft w:val="1411"/>
          <w:marRight w:val="0"/>
          <w:marTop w:val="67"/>
          <w:marBottom w:val="0"/>
          <w:divBdr>
            <w:top w:val="none" w:sz="0" w:space="0" w:color="auto"/>
            <w:left w:val="none" w:sz="0" w:space="0" w:color="auto"/>
            <w:bottom w:val="none" w:sz="0" w:space="0" w:color="auto"/>
            <w:right w:val="none" w:sz="0" w:space="0" w:color="auto"/>
          </w:divBdr>
        </w:div>
        <w:div w:id="61291576">
          <w:marLeft w:val="1411"/>
          <w:marRight w:val="0"/>
          <w:marTop w:val="67"/>
          <w:marBottom w:val="0"/>
          <w:divBdr>
            <w:top w:val="none" w:sz="0" w:space="0" w:color="auto"/>
            <w:left w:val="none" w:sz="0" w:space="0" w:color="auto"/>
            <w:bottom w:val="none" w:sz="0" w:space="0" w:color="auto"/>
            <w:right w:val="none" w:sz="0" w:space="0" w:color="auto"/>
          </w:divBdr>
        </w:div>
        <w:div w:id="1501962518">
          <w:marLeft w:val="835"/>
          <w:marRight w:val="0"/>
          <w:marTop w:val="67"/>
          <w:marBottom w:val="0"/>
          <w:divBdr>
            <w:top w:val="none" w:sz="0" w:space="0" w:color="auto"/>
            <w:left w:val="none" w:sz="0" w:space="0" w:color="auto"/>
            <w:bottom w:val="none" w:sz="0" w:space="0" w:color="auto"/>
            <w:right w:val="none" w:sz="0" w:space="0" w:color="auto"/>
          </w:divBdr>
        </w:div>
        <w:div w:id="2030330194">
          <w:marLeft w:val="1411"/>
          <w:marRight w:val="0"/>
          <w:marTop w:val="67"/>
          <w:marBottom w:val="0"/>
          <w:divBdr>
            <w:top w:val="none" w:sz="0" w:space="0" w:color="auto"/>
            <w:left w:val="none" w:sz="0" w:space="0" w:color="auto"/>
            <w:bottom w:val="none" w:sz="0" w:space="0" w:color="auto"/>
            <w:right w:val="none" w:sz="0" w:space="0" w:color="auto"/>
          </w:divBdr>
        </w:div>
        <w:div w:id="646470915">
          <w:marLeft w:val="835"/>
          <w:marRight w:val="0"/>
          <w:marTop w:val="67"/>
          <w:marBottom w:val="0"/>
          <w:divBdr>
            <w:top w:val="none" w:sz="0" w:space="0" w:color="auto"/>
            <w:left w:val="none" w:sz="0" w:space="0" w:color="auto"/>
            <w:bottom w:val="none" w:sz="0" w:space="0" w:color="auto"/>
            <w:right w:val="none" w:sz="0" w:space="0" w:color="auto"/>
          </w:divBdr>
        </w:div>
        <w:div w:id="2120492160">
          <w:marLeft w:val="1411"/>
          <w:marRight w:val="0"/>
          <w:marTop w:val="67"/>
          <w:marBottom w:val="0"/>
          <w:divBdr>
            <w:top w:val="none" w:sz="0" w:space="0" w:color="auto"/>
            <w:left w:val="none" w:sz="0" w:space="0" w:color="auto"/>
            <w:bottom w:val="none" w:sz="0" w:space="0" w:color="auto"/>
            <w:right w:val="none" w:sz="0" w:space="0" w:color="auto"/>
          </w:divBdr>
        </w:div>
        <w:div w:id="324676128">
          <w:marLeft w:val="1411"/>
          <w:marRight w:val="0"/>
          <w:marTop w:val="67"/>
          <w:marBottom w:val="0"/>
          <w:divBdr>
            <w:top w:val="none" w:sz="0" w:space="0" w:color="auto"/>
            <w:left w:val="none" w:sz="0" w:space="0" w:color="auto"/>
            <w:bottom w:val="none" w:sz="0" w:space="0" w:color="auto"/>
            <w:right w:val="none" w:sz="0" w:space="0" w:color="auto"/>
          </w:divBdr>
        </w:div>
        <w:div w:id="630095420">
          <w:marLeft w:val="1411"/>
          <w:marRight w:val="0"/>
          <w:marTop w:val="67"/>
          <w:marBottom w:val="0"/>
          <w:divBdr>
            <w:top w:val="none" w:sz="0" w:space="0" w:color="auto"/>
            <w:left w:val="none" w:sz="0" w:space="0" w:color="auto"/>
            <w:bottom w:val="none" w:sz="0" w:space="0" w:color="auto"/>
            <w:right w:val="none" w:sz="0" w:space="0" w:color="auto"/>
          </w:divBdr>
        </w:div>
        <w:div w:id="1222447329">
          <w:marLeft w:val="1411"/>
          <w:marRight w:val="0"/>
          <w:marTop w:val="67"/>
          <w:marBottom w:val="0"/>
          <w:divBdr>
            <w:top w:val="none" w:sz="0" w:space="0" w:color="auto"/>
            <w:left w:val="none" w:sz="0" w:space="0" w:color="auto"/>
            <w:bottom w:val="none" w:sz="0" w:space="0" w:color="auto"/>
            <w:right w:val="none" w:sz="0" w:space="0" w:color="auto"/>
          </w:divBdr>
        </w:div>
        <w:div w:id="175198381">
          <w:marLeft w:val="1973"/>
          <w:marRight w:val="0"/>
          <w:marTop w:val="58"/>
          <w:marBottom w:val="0"/>
          <w:divBdr>
            <w:top w:val="none" w:sz="0" w:space="0" w:color="auto"/>
            <w:left w:val="none" w:sz="0" w:space="0" w:color="auto"/>
            <w:bottom w:val="none" w:sz="0" w:space="0" w:color="auto"/>
            <w:right w:val="none" w:sz="0" w:space="0" w:color="auto"/>
          </w:divBdr>
        </w:div>
      </w:divsChild>
    </w:div>
    <w:div w:id="293025903">
      <w:bodyDiv w:val="1"/>
      <w:marLeft w:val="0"/>
      <w:marRight w:val="0"/>
      <w:marTop w:val="0"/>
      <w:marBottom w:val="0"/>
      <w:divBdr>
        <w:top w:val="none" w:sz="0" w:space="0" w:color="auto"/>
        <w:left w:val="none" w:sz="0" w:space="0" w:color="auto"/>
        <w:bottom w:val="none" w:sz="0" w:space="0" w:color="auto"/>
        <w:right w:val="none" w:sz="0" w:space="0" w:color="auto"/>
      </w:divBdr>
    </w:div>
    <w:div w:id="773667623">
      <w:bodyDiv w:val="1"/>
      <w:marLeft w:val="0"/>
      <w:marRight w:val="0"/>
      <w:marTop w:val="0"/>
      <w:marBottom w:val="0"/>
      <w:divBdr>
        <w:top w:val="none" w:sz="0" w:space="0" w:color="auto"/>
        <w:left w:val="none" w:sz="0" w:space="0" w:color="auto"/>
        <w:bottom w:val="none" w:sz="0" w:space="0" w:color="auto"/>
        <w:right w:val="none" w:sz="0" w:space="0" w:color="auto"/>
      </w:divBdr>
      <w:divsChild>
        <w:div w:id="1781990385">
          <w:marLeft w:val="850"/>
          <w:marRight w:val="0"/>
          <w:marTop w:val="0"/>
          <w:marBottom w:val="120"/>
          <w:divBdr>
            <w:top w:val="none" w:sz="0" w:space="0" w:color="auto"/>
            <w:left w:val="none" w:sz="0" w:space="0" w:color="auto"/>
            <w:bottom w:val="none" w:sz="0" w:space="0" w:color="auto"/>
            <w:right w:val="none" w:sz="0" w:space="0" w:color="auto"/>
          </w:divBdr>
        </w:div>
      </w:divsChild>
    </w:div>
    <w:div w:id="906652775">
      <w:bodyDiv w:val="1"/>
      <w:marLeft w:val="0"/>
      <w:marRight w:val="0"/>
      <w:marTop w:val="0"/>
      <w:marBottom w:val="0"/>
      <w:divBdr>
        <w:top w:val="none" w:sz="0" w:space="0" w:color="auto"/>
        <w:left w:val="none" w:sz="0" w:space="0" w:color="auto"/>
        <w:bottom w:val="none" w:sz="0" w:space="0" w:color="auto"/>
        <w:right w:val="none" w:sz="0" w:space="0" w:color="auto"/>
      </w:divBdr>
    </w:div>
    <w:div w:id="1341813222">
      <w:bodyDiv w:val="1"/>
      <w:marLeft w:val="0"/>
      <w:marRight w:val="0"/>
      <w:marTop w:val="0"/>
      <w:marBottom w:val="0"/>
      <w:divBdr>
        <w:top w:val="none" w:sz="0" w:space="0" w:color="auto"/>
        <w:left w:val="none" w:sz="0" w:space="0" w:color="auto"/>
        <w:bottom w:val="none" w:sz="0" w:space="0" w:color="auto"/>
        <w:right w:val="none" w:sz="0" w:space="0" w:color="auto"/>
      </w:divBdr>
      <w:divsChild>
        <w:div w:id="658537254">
          <w:marLeft w:val="835"/>
          <w:marRight w:val="0"/>
          <w:marTop w:val="67"/>
          <w:marBottom w:val="0"/>
          <w:divBdr>
            <w:top w:val="none" w:sz="0" w:space="0" w:color="auto"/>
            <w:left w:val="none" w:sz="0" w:space="0" w:color="auto"/>
            <w:bottom w:val="none" w:sz="0" w:space="0" w:color="auto"/>
            <w:right w:val="none" w:sz="0" w:space="0" w:color="auto"/>
          </w:divBdr>
        </w:div>
        <w:div w:id="1258058810">
          <w:marLeft w:val="835"/>
          <w:marRight w:val="0"/>
          <w:marTop w:val="67"/>
          <w:marBottom w:val="0"/>
          <w:divBdr>
            <w:top w:val="none" w:sz="0" w:space="0" w:color="auto"/>
            <w:left w:val="none" w:sz="0" w:space="0" w:color="auto"/>
            <w:bottom w:val="none" w:sz="0" w:space="0" w:color="auto"/>
            <w:right w:val="none" w:sz="0" w:space="0" w:color="auto"/>
          </w:divBdr>
        </w:div>
        <w:div w:id="972177545">
          <w:marLeft w:val="1411"/>
          <w:marRight w:val="0"/>
          <w:marTop w:val="67"/>
          <w:marBottom w:val="0"/>
          <w:divBdr>
            <w:top w:val="none" w:sz="0" w:space="0" w:color="auto"/>
            <w:left w:val="none" w:sz="0" w:space="0" w:color="auto"/>
            <w:bottom w:val="none" w:sz="0" w:space="0" w:color="auto"/>
            <w:right w:val="none" w:sz="0" w:space="0" w:color="auto"/>
          </w:divBdr>
        </w:div>
        <w:div w:id="1587495492">
          <w:marLeft w:val="1411"/>
          <w:marRight w:val="0"/>
          <w:marTop w:val="67"/>
          <w:marBottom w:val="0"/>
          <w:divBdr>
            <w:top w:val="none" w:sz="0" w:space="0" w:color="auto"/>
            <w:left w:val="none" w:sz="0" w:space="0" w:color="auto"/>
            <w:bottom w:val="none" w:sz="0" w:space="0" w:color="auto"/>
            <w:right w:val="none" w:sz="0" w:space="0" w:color="auto"/>
          </w:divBdr>
        </w:div>
        <w:div w:id="875386998">
          <w:marLeft w:val="835"/>
          <w:marRight w:val="0"/>
          <w:marTop w:val="67"/>
          <w:marBottom w:val="0"/>
          <w:divBdr>
            <w:top w:val="none" w:sz="0" w:space="0" w:color="auto"/>
            <w:left w:val="none" w:sz="0" w:space="0" w:color="auto"/>
            <w:bottom w:val="none" w:sz="0" w:space="0" w:color="auto"/>
            <w:right w:val="none" w:sz="0" w:space="0" w:color="auto"/>
          </w:divBdr>
        </w:div>
        <w:div w:id="2109884946">
          <w:marLeft w:val="835"/>
          <w:marRight w:val="0"/>
          <w:marTop w:val="67"/>
          <w:marBottom w:val="0"/>
          <w:divBdr>
            <w:top w:val="none" w:sz="0" w:space="0" w:color="auto"/>
            <w:left w:val="none" w:sz="0" w:space="0" w:color="auto"/>
            <w:bottom w:val="none" w:sz="0" w:space="0" w:color="auto"/>
            <w:right w:val="none" w:sz="0" w:space="0" w:color="auto"/>
          </w:divBdr>
        </w:div>
        <w:div w:id="1570574297">
          <w:marLeft w:val="835"/>
          <w:marRight w:val="0"/>
          <w:marTop w:val="67"/>
          <w:marBottom w:val="0"/>
          <w:divBdr>
            <w:top w:val="none" w:sz="0" w:space="0" w:color="auto"/>
            <w:left w:val="none" w:sz="0" w:space="0" w:color="auto"/>
            <w:bottom w:val="none" w:sz="0" w:space="0" w:color="auto"/>
            <w:right w:val="none" w:sz="0" w:space="0" w:color="auto"/>
          </w:divBdr>
        </w:div>
        <w:div w:id="658314919">
          <w:marLeft w:val="1411"/>
          <w:marRight w:val="0"/>
          <w:marTop w:val="67"/>
          <w:marBottom w:val="0"/>
          <w:divBdr>
            <w:top w:val="none" w:sz="0" w:space="0" w:color="auto"/>
            <w:left w:val="none" w:sz="0" w:space="0" w:color="auto"/>
            <w:bottom w:val="none" w:sz="0" w:space="0" w:color="auto"/>
            <w:right w:val="none" w:sz="0" w:space="0" w:color="auto"/>
          </w:divBdr>
        </w:div>
        <w:div w:id="2093550151">
          <w:marLeft w:val="1411"/>
          <w:marRight w:val="0"/>
          <w:marTop w:val="67"/>
          <w:marBottom w:val="0"/>
          <w:divBdr>
            <w:top w:val="none" w:sz="0" w:space="0" w:color="auto"/>
            <w:left w:val="none" w:sz="0" w:space="0" w:color="auto"/>
            <w:bottom w:val="none" w:sz="0" w:space="0" w:color="auto"/>
            <w:right w:val="none" w:sz="0" w:space="0" w:color="auto"/>
          </w:divBdr>
        </w:div>
        <w:div w:id="1016617190">
          <w:marLeft w:val="835"/>
          <w:marRight w:val="0"/>
          <w:marTop w:val="67"/>
          <w:marBottom w:val="0"/>
          <w:divBdr>
            <w:top w:val="none" w:sz="0" w:space="0" w:color="auto"/>
            <w:left w:val="none" w:sz="0" w:space="0" w:color="auto"/>
            <w:bottom w:val="none" w:sz="0" w:space="0" w:color="auto"/>
            <w:right w:val="none" w:sz="0" w:space="0" w:color="auto"/>
          </w:divBdr>
        </w:div>
        <w:div w:id="508370660">
          <w:marLeft w:val="1411"/>
          <w:marRight w:val="0"/>
          <w:marTop w:val="67"/>
          <w:marBottom w:val="0"/>
          <w:divBdr>
            <w:top w:val="none" w:sz="0" w:space="0" w:color="auto"/>
            <w:left w:val="none" w:sz="0" w:space="0" w:color="auto"/>
            <w:bottom w:val="none" w:sz="0" w:space="0" w:color="auto"/>
            <w:right w:val="none" w:sz="0" w:space="0" w:color="auto"/>
          </w:divBdr>
        </w:div>
        <w:div w:id="931014060">
          <w:marLeft w:val="1411"/>
          <w:marRight w:val="0"/>
          <w:marTop w:val="67"/>
          <w:marBottom w:val="0"/>
          <w:divBdr>
            <w:top w:val="none" w:sz="0" w:space="0" w:color="auto"/>
            <w:left w:val="none" w:sz="0" w:space="0" w:color="auto"/>
            <w:bottom w:val="none" w:sz="0" w:space="0" w:color="auto"/>
            <w:right w:val="none" w:sz="0" w:space="0" w:color="auto"/>
          </w:divBdr>
        </w:div>
        <w:div w:id="621572415">
          <w:marLeft w:val="1411"/>
          <w:marRight w:val="0"/>
          <w:marTop w:val="67"/>
          <w:marBottom w:val="0"/>
          <w:divBdr>
            <w:top w:val="none" w:sz="0" w:space="0" w:color="auto"/>
            <w:left w:val="none" w:sz="0" w:space="0" w:color="auto"/>
            <w:bottom w:val="none" w:sz="0" w:space="0" w:color="auto"/>
            <w:right w:val="none" w:sz="0" w:space="0" w:color="auto"/>
          </w:divBdr>
        </w:div>
        <w:div w:id="139613831">
          <w:marLeft w:val="1411"/>
          <w:marRight w:val="0"/>
          <w:marTop w:val="67"/>
          <w:marBottom w:val="0"/>
          <w:divBdr>
            <w:top w:val="none" w:sz="0" w:space="0" w:color="auto"/>
            <w:left w:val="none" w:sz="0" w:space="0" w:color="auto"/>
            <w:bottom w:val="none" w:sz="0" w:space="0" w:color="auto"/>
            <w:right w:val="none" w:sz="0" w:space="0" w:color="auto"/>
          </w:divBdr>
        </w:div>
        <w:div w:id="744959361">
          <w:marLeft w:val="1411"/>
          <w:marRight w:val="0"/>
          <w:marTop w:val="67"/>
          <w:marBottom w:val="0"/>
          <w:divBdr>
            <w:top w:val="none" w:sz="0" w:space="0" w:color="auto"/>
            <w:left w:val="none" w:sz="0" w:space="0" w:color="auto"/>
            <w:bottom w:val="none" w:sz="0" w:space="0" w:color="auto"/>
            <w:right w:val="none" w:sz="0" w:space="0" w:color="auto"/>
          </w:divBdr>
        </w:div>
      </w:divsChild>
    </w:div>
    <w:div w:id="1432121884">
      <w:bodyDiv w:val="1"/>
      <w:marLeft w:val="0"/>
      <w:marRight w:val="0"/>
      <w:marTop w:val="0"/>
      <w:marBottom w:val="0"/>
      <w:divBdr>
        <w:top w:val="none" w:sz="0" w:space="0" w:color="auto"/>
        <w:left w:val="none" w:sz="0" w:space="0" w:color="auto"/>
        <w:bottom w:val="none" w:sz="0" w:space="0" w:color="auto"/>
        <w:right w:val="none" w:sz="0" w:space="0" w:color="auto"/>
      </w:divBdr>
      <w:divsChild>
        <w:div w:id="1116604397">
          <w:marLeft w:val="547"/>
          <w:marRight w:val="0"/>
          <w:marTop w:val="0"/>
          <w:marBottom w:val="120"/>
          <w:divBdr>
            <w:top w:val="none" w:sz="0" w:space="0" w:color="auto"/>
            <w:left w:val="none" w:sz="0" w:space="0" w:color="auto"/>
            <w:bottom w:val="none" w:sz="0" w:space="0" w:color="auto"/>
            <w:right w:val="none" w:sz="0" w:space="0" w:color="auto"/>
          </w:divBdr>
        </w:div>
        <w:div w:id="2100979324">
          <w:marLeft w:val="1166"/>
          <w:marRight w:val="0"/>
          <w:marTop w:val="0"/>
          <w:marBottom w:val="120"/>
          <w:divBdr>
            <w:top w:val="none" w:sz="0" w:space="0" w:color="auto"/>
            <w:left w:val="none" w:sz="0" w:space="0" w:color="auto"/>
            <w:bottom w:val="none" w:sz="0" w:space="0" w:color="auto"/>
            <w:right w:val="none" w:sz="0" w:space="0" w:color="auto"/>
          </w:divBdr>
        </w:div>
      </w:divsChild>
    </w:div>
    <w:div w:id="1558399407">
      <w:bodyDiv w:val="1"/>
      <w:marLeft w:val="0"/>
      <w:marRight w:val="0"/>
      <w:marTop w:val="0"/>
      <w:marBottom w:val="0"/>
      <w:divBdr>
        <w:top w:val="none" w:sz="0" w:space="0" w:color="auto"/>
        <w:left w:val="none" w:sz="0" w:space="0" w:color="auto"/>
        <w:bottom w:val="none" w:sz="0" w:space="0" w:color="auto"/>
        <w:right w:val="none" w:sz="0" w:space="0" w:color="auto"/>
      </w:divBdr>
      <w:divsChild>
        <w:div w:id="1990740883">
          <w:marLeft w:val="274"/>
          <w:marRight w:val="0"/>
          <w:marTop w:val="0"/>
          <w:marBottom w:val="120"/>
          <w:divBdr>
            <w:top w:val="none" w:sz="0" w:space="0" w:color="auto"/>
            <w:left w:val="none" w:sz="0" w:space="0" w:color="auto"/>
            <w:bottom w:val="none" w:sz="0" w:space="0" w:color="auto"/>
            <w:right w:val="none" w:sz="0" w:space="0" w:color="auto"/>
          </w:divBdr>
        </w:div>
        <w:div w:id="1617833910">
          <w:marLeft w:val="850"/>
          <w:marRight w:val="0"/>
          <w:marTop w:val="0"/>
          <w:marBottom w:val="120"/>
          <w:divBdr>
            <w:top w:val="none" w:sz="0" w:space="0" w:color="auto"/>
            <w:left w:val="none" w:sz="0" w:space="0" w:color="auto"/>
            <w:bottom w:val="none" w:sz="0" w:space="0" w:color="auto"/>
            <w:right w:val="none" w:sz="0" w:space="0" w:color="auto"/>
          </w:divBdr>
        </w:div>
        <w:div w:id="548298516">
          <w:marLeft w:val="1411"/>
          <w:marRight w:val="0"/>
          <w:marTop w:val="0"/>
          <w:marBottom w:val="120"/>
          <w:divBdr>
            <w:top w:val="none" w:sz="0" w:space="0" w:color="auto"/>
            <w:left w:val="none" w:sz="0" w:space="0" w:color="auto"/>
            <w:bottom w:val="none" w:sz="0" w:space="0" w:color="auto"/>
            <w:right w:val="none" w:sz="0" w:space="0" w:color="auto"/>
          </w:divBdr>
        </w:div>
        <w:div w:id="779648004">
          <w:marLeft w:val="850"/>
          <w:marRight w:val="0"/>
          <w:marTop w:val="0"/>
          <w:marBottom w:val="120"/>
          <w:divBdr>
            <w:top w:val="none" w:sz="0" w:space="0" w:color="auto"/>
            <w:left w:val="none" w:sz="0" w:space="0" w:color="auto"/>
            <w:bottom w:val="none" w:sz="0" w:space="0" w:color="auto"/>
            <w:right w:val="none" w:sz="0" w:space="0" w:color="auto"/>
          </w:divBdr>
        </w:div>
        <w:div w:id="1422140287">
          <w:marLeft w:val="1411"/>
          <w:marRight w:val="0"/>
          <w:marTop w:val="0"/>
          <w:marBottom w:val="120"/>
          <w:divBdr>
            <w:top w:val="none" w:sz="0" w:space="0" w:color="auto"/>
            <w:left w:val="none" w:sz="0" w:space="0" w:color="auto"/>
            <w:bottom w:val="none" w:sz="0" w:space="0" w:color="auto"/>
            <w:right w:val="none" w:sz="0" w:space="0" w:color="auto"/>
          </w:divBdr>
        </w:div>
        <w:div w:id="700783648">
          <w:marLeft w:val="2131"/>
          <w:marRight w:val="0"/>
          <w:marTop w:val="0"/>
          <w:marBottom w:val="120"/>
          <w:divBdr>
            <w:top w:val="none" w:sz="0" w:space="0" w:color="auto"/>
            <w:left w:val="none" w:sz="0" w:space="0" w:color="auto"/>
            <w:bottom w:val="none" w:sz="0" w:space="0" w:color="auto"/>
            <w:right w:val="none" w:sz="0" w:space="0" w:color="auto"/>
          </w:divBdr>
        </w:div>
        <w:div w:id="512183530">
          <w:marLeft w:val="2131"/>
          <w:marRight w:val="0"/>
          <w:marTop w:val="0"/>
          <w:marBottom w:val="120"/>
          <w:divBdr>
            <w:top w:val="none" w:sz="0" w:space="0" w:color="auto"/>
            <w:left w:val="none" w:sz="0" w:space="0" w:color="auto"/>
            <w:bottom w:val="none" w:sz="0" w:space="0" w:color="auto"/>
            <w:right w:val="none" w:sz="0" w:space="0" w:color="auto"/>
          </w:divBdr>
        </w:div>
        <w:div w:id="1075664634">
          <w:marLeft w:val="2851"/>
          <w:marRight w:val="0"/>
          <w:marTop w:val="0"/>
          <w:marBottom w:val="120"/>
          <w:divBdr>
            <w:top w:val="none" w:sz="0" w:space="0" w:color="auto"/>
            <w:left w:val="none" w:sz="0" w:space="0" w:color="auto"/>
            <w:bottom w:val="none" w:sz="0" w:space="0" w:color="auto"/>
            <w:right w:val="none" w:sz="0" w:space="0" w:color="auto"/>
          </w:divBdr>
        </w:div>
        <w:div w:id="915477614">
          <w:marLeft w:val="2851"/>
          <w:marRight w:val="0"/>
          <w:marTop w:val="0"/>
          <w:marBottom w:val="120"/>
          <w:divBdr>
            <w:top w:val="none" w:sz="0" w:space="0" w:color="auto"/>
            <w:left w:val="none" w:sz="0" w:space="0" w:color="auto"/>
            <w:bottom w:val="none" w:sz="0" w:space="0" w:color="auto"/>
            <w:right w:val="none" w:sz="0" w:space="0" w:color="auto"/>
          </w:divBdr>
        </w:div>
      </w:divsChild>
    </w:div>
    <w:div w:id="1589383619">
      <w:bodyDiv w:val="1"/>
      <w:marLeft w:val="0"/>
      <w:marRight w:val="0"/>
      <w:marTop w:val="0"/>
      <w:marBottom w:val="0"/>
      <w:divBdr>
        <w:top w:val="none" w:sz="0" w:space="0" w:color="auto"/>
        <w:left w:val="none" w:sz="0" w:space="0" w:color="auto"/>
        <w:bottom w:val="none" w:sz="0" w:space="0" w:color="auto"/>
        <w:right w:val="none" w:sz="0" w:space="0" w:color="auto"/>
      </w:divBdr>
    </w:div>
    <w:div w:id="1673097748">
      <w:bodyDiv w:val="1"/>
      <w:marLeft w:val="0"/>
      <w:marRight w:val="0"/>
      <w:marTop w:val="0"/>
      <w:marBottom w:val="0"/>
      <w:divBdr>
        <w:top w:val="none" w:sz="0" w:space="0" w:color="auto"/>
        <w:left w:val="none" w:sz="0" w:space="0" w:color="auto"/>
        <w:bottom w:val="none" w:sz="0" w:space="0" w:color="auto"/>
        <w:right w:val="none" w:sz="0" w:space="0" w:color="auto"/>
      </w:divBdr>
    </w:div>
    <w:div w:id="169896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439D3-C363-4EE3-BD92-11105D937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2018-09-27T18:15:00Z</dcterms:created>
  <dcterms:modified xsi:type="dcterms:W3CDTF">2018-09-29T04:21:00Z</dcterms:modified>
</cp:coreProperties>
</file>